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855" w:rsidRPr="002809D6" w:rsidRDefault="00D87855" w:rsidP="00D87855">
      <w:pPr>
        <w:jc w:val="center"/>
        <w:rPr>
          <w:sz w:val="28"/>
          <w:lang w:val="en-GB"/>
        </w:rPr>
      </w:pPr>
      <w:r>
        <w:rPr>
          <w:sz w:val="36"/>
          <w:lang w:val="en-GB"/>
        </w:rPr>
        <w:t>D</w:t>
      </w:r>
      <w:r w:rsidRPr="002809D6">
        <w:rPr>
          <w:sz w:val="36"/>
          <w:lang w:val="en-GB"/>
        </w:rPr>
        <w:t>escribing the fundamental aspects of the HWF planning systems</w:t>
      </w:r>
      <w:r>
        <w:rPr>
          <w:sz w:val="36"/>
          <w:lang w:val="en-GB"/>
        </w:rPr>
        <w:t xml:space="preserve"> in selected European Countries</w:t>
      </w:r>
    </w:p>
    <w:p w:rsidR="00D87855" w:rsidRDefault="00D87855" w:rsidP="00D87855">
      <w:pPr>
        <w:rPr>
          <w:lang w:val="en-GB"/>
        </w:rPr>
      </w:pPr>
      <w:r>
        <w:rPr>
          <w:lang w:val="en-GB"/>
        </w:rPr>
        <w:t>The purpose of the handbook on HWF (Health Work Force) planning systems (D52) is to become a guide to all European states wanting to improve their planning of the HWF but in particular those who are starting up a planning system now.</w:t>
      </w:r>
    </w:p>
    <w:p w:rsidR="00D87855" w:rsidRDefault="00D87855" w:rsidP="00D87855">
      <w:pPr>
        <w:rPr>
          <w:lang w:val="en-GB"/>
        </w:rPr>
      </w:pPr>
      <w:r>
        <w:rPr>
          <w:lang w:val="en-GB"/>
        </w:rPr>
        <w:t>In order to respond to the future requests on the handbook we have decided to distinguish between the activities that need to be done during the starting up of a planning system and a description of that one.  In this document we will treat the description of the planning system.</w:t>
      </w:r>
    </w:p>
    <w:p w:rsidR="00D87855" w:rsidRDefault="00D87855" w:rsidP="00D87855">
      <w:pPr>
        <w:rPr>
          <w:lang w:val="en-GB"/>
        </w:rPr>
      </w:pPr>
      <w:r>
        <w:rPr>
          <w:lang w:val="en-GB"/>
        </w:rPr>
        <w:t>When we have analysed the different planning systems that could be used as “good practice” and compared with the literature on the subject, we have found five main elements to describe a planning system:</w:t>
      </w:r>
    </w:p>
    <w:p w:rsidR="00D87855" w:rsidRPr="0005618E" w:rsidRDefault="005D0690" w:rsidP="00D87855">
      <w:pPr>
        <w:pStyle w:val="Paragrafoelenco"/>
        <w:numPr>
          <w:ilvl w:val="0"/>
          <w:numId w:val="35"/>
        </w:numPr>
        <w:rPr>
          <w:rFonts w:asciiTheme="minorHAnsi" w:hAnsiTheme="minorHAnsi"/>
          <w:sz w:val="22"/>
          <w:lang w:val="en-US"/>
        </w:rPr>
      </w:pPr>
      <w:r w:rsidRPr="005D0690">
        <w:rPr>
          <w:rFonts w:asciiTheme="minorHAnsi" w:hAnsiTheme="minorHAnsi"/>
          <w:b/>
          <w:sz w:val="22"/>
          <w:lang w:val="en-GB"/>
        </w:rPr>
        <w:t>How the planning system is organized</w:t>
      </w:r>
      <w:r w:rsidRPr="005D0690">
        <w:rPr>
          <w:rFonts w:asciiTheme="minorHAnsi" w:hAnsiTheme="minorHAnsi"/>
          <w:sz w:val="22"/>
          <w:lang w:val="en-GB"/>
        </w:rPr>
        <w:t xml:space="preserve"> in order to guarantee a permanent process. The literature defines </w:t>
      </w:r>
      <w:r w:rsidRPr="005D0690">
        <w:rPr>
          <w:rFonts w:asciiTheme="minorHAnsi" w:hAnsiTheme="minorHAnsi"/>
          <w:bCs/>
          <w:sz w:val="22"/>
          <w:lang w:val="en-US"/>
        </w:rPr>
        <w:t>planning</w:t>
      </w:r>
      <w:r w:rsidRPr="005D0690">
        <w:rPr>
          <w:rFonts w:asciiTheme="minorHAnsi" w:hAnsiTheme="minorHAnsi"/>
          <w:sz w:val="22"/>
          <w:lang w:val="en-US"/>
        </w:rPr>
        <w:t xml:space="preserve"> (also called </w:t>
      </w:r>
      <w:r w:rsidRPr="005D0690">
        <w:rPr>
          <w:rFonts w:asciiTheme="minorHAnsi" w:hAnsiTheme="minorHAnsi"/>
          <w:bCs/>
          <w:sz w:val="22"/>
          <w:lang w:val="en-US"/>
        </w:rPr>
        <w:t>forethought</w:t>
      </w:r>
      <w:r w:rsidRPr="005D0690">
        <w:rPr>
          <w:rFonts w:asciiTheme="minorHAnsi" w:hAnsiTheme="minorHAnsi"/>
          <w:sz w:val="22"/>
          <w:lang w:val="en-US"/>
        </w:rPr>
        <w:t xml:space="preserve">) as the process of </w:t>
      </w:r>
      <w:hyperlink r:id="rId8" w:tooltip="Thinking" w:history="1">
        <w:r w:rsidRPr="005D0690">
          <w:rPr>
            <w:rStyle w:val="Collegamentoipertestuale"/>
            <w:rFonts w:asciiTheme="minorHAnsi" w:hAnsiTheme="minorHAnsi"/>
            <w:sz w:val="22"/>
            <w:lang w:val="en-US"/>
          </w:rPr>
          <w:t>thinking</w:t>
        </w:r>
      </w:hyperlink>
      <w:r w:rsidRPr="005D0690">
        <w:rPr>
          <w:rFonts w:asciiTheme="minorHAnsi" w:hAnsiTheme="minorHAnsi"/>
          <w:sz w:val="22"/>
          <w:lang w:val="en-US"/>
        </w:rPr>
        <w:t xml:space="preserve"> about and organizing the activities required to achieve a desired goal.   Planning is deciding in advance what to do, how to do it, when to do it, and who should do it.  In a complex system it is critical to engage the stakeholders in the planning process.</w:t>
      </w:r>
    </w:p>
    <w:p w:rsidR="00D87855" w:rsidRPr="0005618E" w:rsidRDefault="005D0690" w:rsidP="00D87855">
      <w:pPr>
        <w:pStyle w:val="Paragrafoelenco"/>
        <w:numPr>
          <w:ilvl w:val="0"/>
          <w:numId w:val="35"/>
        </w:numPr>
        <w:rPr>
          <w:rFonts w:asciiTheme="minorHAnsi" w:hAnsiTheme="minorHAnsi"/>
          <w:sz w:val="22"/>
          <w:lang w:val="en-GB"/>
        </w:rPr>
      </w:pPr>
      <w:r w:rsidRPr="005D0690">
        <w:rPr>
          <w:rFonts w:asciiTheme="minorHAnsi" w:hAnsiTheme="minorHAnsi"/>
          <w:sz w:val="22"/>
          <w:lang w:val="en-GB"/>
        </w:rPr>
        <w:t xml:space="preserve">Which </w:t>
      </w:r>
      <w:r w:rsidRPr="005D0690">
        <w:rPr>
          <w:rFonts w:asciiTheme="minorHAnsi" w:hAnsiTheme="minorHAnsi"/>
          <w:b/>
          <w:sz w:val="22"/>
          <w:lang w:val="en-GB"/>
        </w:rPr>
        <w:t>goals</w:t>
      </w:r>
      <w:r w:rsidRPr="005D0690">
        <w:rPr>
          <w:rFonts w:asciiTheme="minorHAnsi" w:hAnsiTheme="minorHAnsi"/>
          <w:sz w:val="22"/>
          <w:lang w:val="en-GB"/>
        </w:rPr>
        <w:t xml:space="preserve"> are set and with which time frame. If the goals are set on fifteen years from now, probably there will be less restrictions in the system than if you plan for the next year. For example, in most European countries in fifteen years from now, half of the doctors of today will have left the active working life and the new doctors may have different characteristics.</w:t>
      </w:r>
    </w:p>
    <w:p w:rsidR="00D87855" w:rsidRPr="0005618E" w:rsidRDefault="005D0690" w:rsidP="00D87855">
      <w:pPr>
        <w:pStyle w:val="Paragrafoelenco"/>
        <w:numPr>
          <w:ilvl w:val="0"/>
          <w:numId w:val="35"/>
        </w:numPr>
        <w:rPr>
          <w:rFonts w:asciiTheme="minorHAnsi" w:hAnsiTheme="minorHAnsi"/>
          <w:sz w:val="22"/>
          <w:lang w:val="en-GB"/>
        </w:rPr>
      </w:pPr>
      <w:r w:rsidRPr="005D0690">
        <w:rPr>
          <w:rFonts w:asciiTheme="minorHAnsi" w:hAnsiTheme="minorHAnsi"/>
          <w:sz w:val="22"/>
          <w:lang w:val="en-GB"/>
        </w:rPr>
        <w:t xml:space="preserve">How the planning process is connected with the actions that will achieve what has been planned, (the </w:t>
      </w:r>
      <w:r w:rsidRPr="005D0690">
        <w:rPr>
          <w:rFonts w:asciiTheme="minorHAnsi" w:hAnsiTheme="minorHAnsi"/>
          <w:b/>
          <w:sz w:val="22"/>
          <w:lang w:val="en-GB"/>
        </w:rPr>
        <w:t>cycle of continuous improvement</w:t>
      </w:r>
      <w:r w:rsidRPr="005D0690">
        <w:rPr>
          <w:rFonts w:asciiTheme="minorHAnsi" w:hAnsiTheme="minorHAnsi"/>
          <w:sz w:val="22"/>
          <w:lang w:val="en-GB"/>
        </w:rPr>
        <w:t xml:space="preserve"> of Deming with the phases Plan, Do, Check, Act).  Within the planning phase, the literature highlights the need to adopt a method that is consistent with the time frame.  It might be necessary to include in the planning the skills needed, the future professional mix, the quantity, the working conditions and the training.</w:t>
      </w:r>
    </w:p>
    <w:p w:rsidR="00D87855" w:rsidRPr="0005618E" w:rsidRDefault="005D0690" w:rsidP="00D87855">
      <w:pPr>
        <w:pStyle w:val="Paragrafoelenco"/>
        <w:numPr>
          <w:ilvl w:val="0"/>
          <w:numId w:val="35"/>
        </w:numPr>
        <w:rPr>
          <w:rFonts w:asciiTheme="minorHAnsi" w:hAnsiTheme="minorHAnsi"/>
          <w:sz w:val="22"/>
          <w:lang w:val="en-GB"/>
        </w:rPr>
      </w:pPr>
      <w:r w:rsidRPr="005D0690">
        <w:rPr>
          <w:rFonts w:asciiTheme="minorHAnsi" w:hAnsiTheme="minorHAnsi"/>
          <w:sz w:val="22"/>
          <w:lang w:val="en-GB"/>
        </w:rPr>
        <w:t xml:space="preserve">Which </w:t>
      </w:r>
      <w:r w:rsidRPr="005D0690">
        <w:rPr>
          <w:rFonts w:asciiTheme="minorHAnsi" w:hAnsiTheme="minorHAnsi"/>
          <w:b/>
          <w:sz w:val="22"/>
          <w:lang w:val="en-GB"/>
        </w:rPr>
        <w:t>data</w:t>
      </w:r>
      <w:r w:rsidRPr="005D0690">
        <w:rPr>
          <w:rFonts w:asciiTheme="minorHAnsi" w:hAnsiTheme="minorHAnsi"/>
          <w:sz w:val="22"/>
          <w:lang w:val="en-GB"/>
        </w:rPr>
        <w:t xml:space="preserve"> is really used in the planning.</w:t>
      </w:r>
    </w:p>
    <w:p w:rsidR="00D87855" w:rsidRPr="0005618E" w:rsidRDefault="005D0690" w:rsidP="00D87855">
      <w:pPr>
        <w:pStyle w:val="Paragrafoelenco"/>
        <w:numPr>
          <w:ilvl w:val="0"/>
          <w:numId w:val="35"/>
        </w:numPr>
        <w:rPr>
          <w:rFonts w:asciiTheme="minorHAnsi" w:hAnsiTheme="minorHAnsi"/>
          <w:sz w:val="22"/>
          <w:lang w:val="en-GB"/>
        </w:rPr>
      </w:pPr>
      <w:r w:rsidRPr="005D0690">
        <w:rPr>
          <w:rFonts w:asciiTheme="minorHAnsi" w:hAnsiTheme="minorHAnsi"/>
          <w:sz w:val="22"/>
          <w:lang w:val="en-GB"/>
        </w:rPr>
        <w:t xml:space="preserve">The type of the </w:t>
      </w:r>
      <w:r w:rsidRPr="005D0690">
        <w:rPr>
          <w:rFonts w:asciiTheme="minorHAnsi" w:hAnsiTheme="minorHAnsi"/>
          <w:b/>
          <w:sz w:val="22"/>
          <w:lang w:val="en-GB"/>
        </w:rPr>
        <w:t>forecasting model</w:t>
      </w:r>
      <w:r w:rsidRPr="005D0690">
        <w:rPr>
          <w:rFonts w:asciiTheme="minorHAnsi" w:hAnsiTheme="minorHAnsi"/>
          <w:sz w:val="22"/>
          <w:lang w:val="en-GB"/>
        </w:rPr>
        <w:t xml:space="preserve"> and its use.</w:t>
      </w:r>
    </w:p>
    <w:p w:rsidR="00D87855" w:rsidRDefault="00D87855" w:rsidP="00D87855">
      <w:pPr>
        <w:rPr>
          <w:lang w:val="en-GB"/>
        </w:rPr>
      </w:pPr>
      <w:r>
        <w:rPr>
          <w:lang w:val="en-GB"/>
        </w:rPr>
        <w:t>The attached template is to be used when describing some selected existing planning systems in European Countries</w:t>
      </w:r>
      <w:r>
        <w:rPr>
          <w:rStyle w:val="Rimandonotaapidipagina"/>
          <w:lang w:val="en-GB"/>
        </w:rPr>
        <w:footnoteReference w:id="1"/>
      </w:r>
      <w:r>
        <w:rPr>
          <w:lang w:val="en-GB"/>
        </w:rPr>
        <w:t>.  In the expert meeting in Firenze in May the template and the descriptions will be used to:</w:t>
      </w:r>
    </w:p>
    <w:p w:rsidR="00D87855" w:rsidRPr="0005618E" w:rsidRDefault="005D0690" w:rsidP="00D87855">
      <w:pPr>
        <w:pStyle w:val="Paragrafoelenco"/>
        <w:numPr>
          <w:ilvl w:val="0"/>
          <w:numId w:val="36"/>
        </w:numPr>
        <w:rPr>
          <w:rFonts w:asciiTheme="minorHAnsi" w:hAnsiTheme="minorHAnsi"/>
          <w:sz w:val="22"/>
          <w:lang w:val="en-GB"/>
        </w:rPr>
      </w:pPr>
      <w:r w:rsidRPr="005D0690">
        <w:rPr>
          <w:rFonts w:asciiTheme="minorHAnsi" w:hAnsiTheme="minorHAnsi"/>
          <w:sz w:val="22"/>
          <w:lang w:val="en-GB"/>
        </w:rPr>
        <w:t>compare the different systems;</w:t>
      </w:r>
    </w:p>
    <w:p w:rsidR="00D87855" w:rsidRPr="0005618E" w:rsidRDefault="005D0690" w:rsidP="00D87855">
      <w:pPr>
        <w:pStyle w:val="Paragrafoelenco"/>
        <w:numPr>
          <w:ilvl w:val="0"/>
          <w:numId w:val="36"/>
        </w:numPr>
        <w:rPr>
          <w:rFonts w:asciiTheme="minorHAnsi" w:hAnsiTheme="minorHAnsi"/>
          <w:sz w:val="22"/>
          <w:lang w:val="en-GB"/>
        </w:rPr>
      </w:pPr>
      <w:r w:rsidRPr="005D0690">
        <w:rPr>
          <w:rFonts w:asciiTheme="minorHAnsi" w:hAnsiTheme="minorHAnsi"/>
          <w:sz w:val="22"/>
          <w:lang w:val="en-GB"/>
        </w:rPr>
        <w:t>choose criteria for assessing the systems;</w:t>
      </w:r>
    </w:p>
    <w:p w:rsidR="00D87855" w:rsidRPr="0005618E" w:rsidRDefault="005D0690" w:rsidP="00D87855">
      <w:pPr>
        <w:pStyle w:val="Paragrafoelenco"/>
        <w:numPr>
          <w:ilvl w:val="0"/>
          <w:numId w:val="36"/>
        </w:numPr>
        <w:rPr>
          <w:rFonts w:asciiTheme="minorHAnsi" w:hAnsiTheme="minorHAnsi"/>
          <w:sz w:val="22"/>
          <w:lang w:val="en-GB"/>
        </w:rPr>
      </w:pPr>
      <w:r w:rsidRPr="005D0690">
        <w:rPr>
          <w:rFonts w:asciiTheme="minorHAnsi" w:hAnsiTheme="minorHAnsi"/>
          <w:sz w:val="22"/>
          <w:lang w:val="en-GB"/>
        </w:rPr>
        <w:t>assess the systems according to these criteria.</w:t>
      </w:r>
    </w:p>
    <w:p w:rsidR="00D87855" w:rsidRPr="007D61CE" w:rsidRDefault="00D87855" w:rsidP="00D87855">
      <w:pPr>
        <w:rPr>
          <w:lang w:val="en-GB"/>
        </w:rPr>
      </w:pPr>
      <w:r>
        <w:rPr>
          <w:lang w:val="en-GB"/>
        </w:rPr>
        <w:t>During the following months the results of the expert meeting will be used to organize and develop the Handbook.</w:t>
      </w:r>
    </w:p>
    <w:p w:rsidR="00D87855" w:rsidRPr="00D87855" w:rsidRDefault="00D87855">
      <w:pPr>
        <w:rPr>
          <w:b/>
          <w:lang w:val="en-GB"/>
        </w:rPr>
        <w:sectPr w:rsidR="00D87855" w:rsidRPr="00D87855" w:rsidSect="00E072AB">
          <w:headerReference w:type="default" r:id="rId9"/>
          <w:pgSz w:w="11906" w:h="16838"/>
          <w:pgMar w:top="851" w:right="1134" w:bottom="851" w:left="1134" w:header="708" w:footer="708" w:gutter="0"/>
          <w:cols w:space="708"/>
          <w:docGrid w:linePitch="360"/>
        </w:sectPr>
      </w:pPr>
    </w:p>
    <w:p w:rsidR="007F6F1F" w:rsidRDefault="006711DA">
      <w:pPr>
        <w:rPr>
          <w:lang w:val="en-US"/>
        </w:rPr>
      </w:pPr>
      <w:r w:rsidRPr="00044C79">
        <w:rPr>
          <w:b/>
          <w:lang w:val="en-US"/>
        </w:rPr>
        <w:lastRenderedPageBreak/>
        <w:t xml:space="preserve">ORGANIZATION OF THE </w:t>
      </w:r>
      <w:r>
        <w:rPr>
          <w:b/>
          <w:lang w:val="en-US"/>
        </w:rPr>
        <w:t xml:space="preserve">HWF </w:t>
      </w:r>
      <w:r w:rsidRPr="00044C79">
        <w:rPr>
          <w:b/>
          <w:lang w:val="en-US"/>
        </w:rPr>
        <w:t>PLANNING SYSTEM</w:t>
      </w:r>
      <w:r w:rsidRPr="00D31248">
        <w:rPr>
          <w:lang w:val="en-US"/>
        </w:rPr>
        <w:t xml:space="preserve"> (staff, competences, workflow</w:t>
      </w:r>
      <w:r>
        <w:rPr>
          <w:lang w:val="en-US"/>
        </w:rPr>
        <w:t>, responsibilities</w:t>
      </w:r>
      <w:r w:rsidRPr="00D31248">
        <w:rPr>
          <w:lang w:val="en-US"/>
        </w:rPr>
        <w:t>)</w:t>
      </w:r>
    </w:p>
    <w:tbl>
      <w:tblPr>
        <w:tblStyle w:val="Grigliatabella"/>
        <w:tblW w:w="0" w:type="auto"/>
        <w:tblLayout w:type="fixed"/>
        <w:tblLook w:val="04A0"/>
      </w:tblPr>
      <w:tblGrid>
        <w:gridCol w:w="2964"/>
        <w:gridCol w:w="6925"/>
        <w:gridCol w:w="4614"/>
      </w:tblGrid>
      <w:tr w:rsidR="006711DA" w:rsidTr="00EE0144">
        <w:tc>
          <w:tcPr>
            <w:tcW w:w="2964" w:type="dxa"/>
          </w:tcPr>
          <w:p w:rsidR="006711DA" w:rsidRPr="00130DEA" w:rsidRDefault="001371DF" w:rsidP="006711DA">
            <w:pPr>
              <w:rPr>
                <w:b/>
                <w:lang w:val="en-US"/>
              </w:rPr>
            </w:pPr>
            <w:r>
              <w:rPr>
                <w:b/>
                <w:sz w:val="24"/>
                <w:lang w:val="en-US"/>
              </w:rPr>
              <w:t>Main aspects</w:t>
            </w:r>
          </w:p>
        </w:tc>
        <w:tc>
          <w:tcPr>
            <w:tcW w:w="6925" w:type="dxa"/>
          </w:tcPr>
          <w:p w:rsidR="006711DA" w:rsidRDefault="006711DA" w:rsidP="006711DA">
            <w:pPr>
              <w:jc w:val="center"/>
              <w:rPr>
                <w:lang w:val="en-US"/>
              </w:rPr>
            </w:pPr>
            <w:r>
              <w:rPr>
                <w:lang w:val="en-US"/>
              </w:rPr>
              <w:t>Description / Examples</w:t>
            </w:r>
          </w:p>
        </w:tc>
        <w:tc>
          <w:tcPr>
            <w:tcW w:w="4614" w:type="dxa"/>
          </w:tcPr>
          <w:p w:rsidR="006711DA" w:rsidRDefault="006711DA" w:rsidP="006711DA">
            <w:pPr>
              <w:jc w:val="center"/>
              <w:rPr>
                <w:lang w:val="en-US"/>
              </w:rPr>
            </w:pPr>
            <w:r>
              <w:rPr>
                <w:lang w:val="en-US"/>
              </w:rPr>
              <w:t>Documents</w:t>
            </w:r>
          </w:p>
        </w:tc>
      </w:tr>
      <w:tr w:rsidR="006711DA" w:rsidRPr="00414A79" w:rsidTr="00EE0144">
        <w:tc>
          <w:tcPr>
            <w:tcW w:w="2964" w:type="dxa"/>
          </w:tcPr>
          <w:p w:rsidR="006711DA" w:rsidRPr="006711DA" w:rsidRDefault="006711DA" w:rsidP="006711DA">
            <w:pPr>
              <w:rPr>
                <w:u w:val="single"/>
                <w:lang w:val="en-US"/>
              </w:rPr>
            </w:pPr>
            <w:r w:rsidRPr="006711DA">
              <w:rPr>
                <w:u w:val="single"/>
                <w:lang w:val="en-US"/>
              </w:rPr>
              <w:t>At what level does workforce planning take place?</w:t>
            </w:r>
          </w:p>
          <w:p w:rsidR="006711DA" w:rsidRPr="00F06A1F" w:rsidRDefault="006711DA" w:rsidP="006711DA">
            <w:pPr>
              <w:rPr>
                <w:sz w:val="20"/>
                <w:szCs w:val="20"/>
                <w:lang w:val="en-US"/>
              </w:rPr>
            </w:pPr>
          </w:p>
          <w:p w:rsidR="006711DA" w:rsidRPr="00F06A1F" w:rsidRDefault="006711DA" w:rsidP="006711DA">
            <w:pPr>
              <w:pStyle w:val="Paragrafoelenco"/>
              <w:numPr>
                <w:ilvl w:val="0"/>
                <w:numId w:val="1"/>
              </w:numPr>
              <w:spacing w:line="240" w:lineRule="auto"/>
              <w:jc w:val="left"/>
              <w:rPr>
                <w:sz w:val="20"/>
                <w:szCs w:val="20"/>
              </w:rPr>
            </w:pPr>
            <w:r w:rsidRPr="00F06A1F">
              <w:rPr>
                <w:sz w:val="20"/>
                <w:szCs w:val="20"/>
              </w:rPr>
              <w:t>Regional (local).</w:t>
            </w:r>
          </w:p>
          <w:p w:rsidR="006711DA" w:rsidRPr="00F06A1F" w:rsidRDefault="006711DA" w:rsidP="006711DA">
            <w:pPr>
              <w:pStyle w:val="Paragrafoelenco"/>
              <w:numPr>
                <w:ilvl w:val="0"/>
                <w:numId w:val="1"/>
              </w:numPr>
              <w:spacing w:line="240" w:lineRule="auto"/>
              <w:jc w:val="left"/>
              <w:rPr>
                <w:sz w:val="20"/>
                <w:szCs w:val="20"/>
              </w:rPr>
            </w:pPr>
            <w:r w:rsidRPr="00F06A1F">
              <w:rPr>
                <w:sz w:val="20"/>
                <w:szCs w:val="20"/>
              </w:rPr>
              <w:t>National (central).</w:t>
            </w:r>
          </w:p>
          <w:p w:rsidR="006711DA" w:rsidRPr="00F06A1F" w:rsidRDefault="006711DA" w:rsidP="006711DA">
            <w:pPr>
              <w:pStyle w:val="Paragrafoelenco"/>
              <w:numPr>
                <w:ilvl w:val="0"/>
                <w:numId w:val="1"/>
              </w:numPr>
              <w:spacing w:line="240" w:lineRule="auto"/>
              <w:jc w:val="left"/>
              <w:rPr>
                <w:sz w:val="20"/>
                <w:szCs w:val="20"/>
                <w:lang w:val="en-US"/>
              </w:rPr>
            </w:pPr>
            <w:r w:rsidRPr="00F06A1F">
              <w:rPr>
                <w:sz w:val="20"/>
                <w:szCs w:val="20"/>
                <w:lang w:val="en-US"/>
              </w:rPr>
              <w:t>Separated between central administrations and regional (local) administrations.</w:t>
            </w:r>
          </w:p>
          <w:p w:rsidR="006711DA" w:rsidRPr="00F06A1F" w:rsidRDefault="006711DA" w:rsidP="006711DA">
            <w:pPr>
              <w:pStyle w:val="Paragrafoelenco"/>
              <w:numPr>
                <w:ilvl w:val="0"/>
                <w:numId w:val="1"/>
              </w:numPr>
              <w:spacing w:line="240" w:lineRule="auto"/>
              <w:jc w:val="left"/>
              <w:rPr>
                <w:sz w:val="20"/>
                <w:szCs w:val="20"/>
                <w:lang w:val="en-US"/>
              </w:rPr>
            </w:pPr>
            <w:r w:rsidRPr="00F06A1F">
              <w:rPr>
                <w:sz w:val="20"/>
                <w:szCs w:val="20"/>
                <w:lang w:val="en-US"/>
              </w:rPr>
              <w:t>Shared among central administrations and regional (local) administrations.</w:t>
            </w:r>
          </w:p>
          <w:p w:rsidR="006711DA" w:rsidRDefault="006711DA" w:rsidP="006711DA">
            <w:pPr>
              <w:pStyle w:val="Paragrafoelenco"/>
              <w:spacing w:line="240" w:lineRule="auto"/>
              <w:ind w:left="360"/>
              <w:jc w:val="left"/>
              <w:rPr>
                <w:lang w:val="en-US"/>
              </w:rPr>
            </w:pPr>
          </w:p>
        </w:tc>
        <w:tc>
          <w:tcPr>
            <w:tcW w:w="6925" w:type="dxa"/>
          </w:tcPr>
          <w:p w:rsidR="006711DA" w:rsidRDefault="006711DA">
            <w:pPr>
              <w:rPr>
                <w:lang w:val="en-US"/>
              </w:rPr>
            </w:pPr>
          </w:p>
          <w:p w:rsidR="00514B16" w:rsidRPr="00F06A1F" w:rsidRDefault="001D1C1B" w:rsidP="001D1C1B">
            <w:pPr>
              <w:pStyle w:val="Default"/>
              <w:rPr>
                <w:rFonts w:asciiTheme="minorHAnsi" w:hAnsiTheme="minorHAnsi" w:cstheme="minorBidi"/>
                <w:color w:val="auto"/>
                <w:sz w:val="20"/>
                <w:szCs w:val="20"/>
                <w:lang w:val="en-US"/>
              </w:rPr>
            </w:pPr>
            <w:r w:rsidRPr="00F06A1F">
              <w:rPr>
                <w:rFonts w:asciiTheme="minorHAnsi" w:hAnsiTheme="minorHAnsi" w:cstheme="minorBidi"/>
                <w:color w:val="auto"/>
                <w:sz w:val="20"/>
                <w:szCs w:val="20"/>
                <w:lang w:val="en-US"/>
              </w:rPr>
              <w:t xml:space="preserve">Regional and National </w:t>
            </w:r>
          </w:p>
          <w:p w:rsidR="00514B16" w:rsidRPr="00F06A1F" w:rsidRDefault="00514B16" w:rsidP="00514B16">
            <w:pPr>
              <w:pStyle w:val="BulletedList"/>
              <w:numPr>
                <w:ilvl w:val="0"/>
                <w:numId w:val="0"/>
              </w:numPr>
              <w:jc w:val="both"/>
              <w:rPr>
                <w:rFonts w:asciiTheme="minorHAnsi" w:eastAsiaTheme="minorEastAsia" w:hAnsiTheme="minorHAnsi" w:cstheme="minorBidi"/>
                <w:sz w:val="20"/>
                <w:szCs w:val="20"/>
                <w:lang w:val="en-US" w:eastAsia="it-IT"/>
              </w:rPr>
            </w:pPr>
            <w:r w:rsidRPr="00F06A1F">
              <w:rPr>
                <w:rFonts w:asciiTheme="minorHAnsi" w:eastAsiaTheme="minorEastAsia" w:hAnsiTheme="minorHAnsi" w:cstheme="minorBidi"/>
                <w:sz w:val="20"/>
                <w:szCs w:val="20"/>
                <w:lang w:val="en-US" w:eastAsia="it-IT"/>
              </w:rPr>
              <w:t>Workforce planning takes place at the regional and national levels.</w:t>
            </w:r>
          </w:p>
          <w:p w:rsidR="00514B16" w:rsidRPr="00F06A1F" w:rsidRDefault="00514B16" w:rsidP="00514B16">
            <w:pPr>
              <w:pStyle w:val="BulletedList"/>
              <w:numPr>
                <w:ilvl w:val="0"/>
                <w:numId w:val="0"/>
              </w:numPr>
              <w:jc w:val="both"/>
              <w:rPr>
                <w:rFonts w:asciiTheme="minorHAnsi" w:eastAsiaTheme="minorEastAsia" w:hAnsiTheme="minorHAnsi" w:cstheme="minorBidi"/>
                <w:sz w:val="20"/>
                <w:szCs w:val="20"/>
                <w:lang w:val="en-US" w:eastAsia="it-IT"/>
              </w:rPr>
            </w:pPr>
          </w:p>
          <w:p w:rsidR="00514B16" w:rsidRPr="00F06A1F" w:rsidRDefault="00514B16" w:rsidP="00514B16">
            <w:pPr>
              <w:pStyle w:val="BulletedList"/>
              <w:numPr>
                <w:ilvl w:val="0"/>
                <w:numId w:val="0"/>
              </w:numPr>
              <w:jc w:val="both"/>
              <w:rPr>
                <w:rFonts w:asciiTheme="minorHAnsi" w:eastAsiaTheme="minorEastAsia" w:hAnsiTheme="minorHAnsi" w:cstheme="minorBidi"/>
                <w:sz w:val="20"/>
                <w:szCs w:val="20"/>
                <w:lang w:val="en-US" w:eastAsia="it-IT"/>
              </w:rPr>
            </w:pPr>
            <w:r w:rsidRPr="00F06A1F">
              <w:rPr>
                <w:rFonts w:asciiTheme="minorHAnsi" w:eastAsiaTheme="minorEastAsia" w:hAnsiTheme="minorHAnsi" w:cstheme="minorBidi"/>
                <w:sz w:val="20"/>
                <w:szCs w:val="20"/>
                <w:lang w:val="en-US" w:eastAsia="it-IT"/>
              </w:rPr>
              <w:t>Workforce Planning institution: The responsibility is shared between the Government Institute for Economic Research (</w:t>
            </w:r>
            <w:r w:rsidR="00472B49">
              <w:rPr>
                <w:rFonts w:asciiTheme="minorHAnsi" w:eastAsiaTheme="minorEastAsia" w:hAnsiTheme="minorHAnsi" w:cstheme="minorBidi"/>
                <w:sz w:val="20"/>
                <w:szCs w:val="20"/>
                <w:lang w:val="en-US" w:eastAsia="it-IT"/>
              </w:rPr>
              <w:t xml:space="preserve">VATT, </w:t>
            </w:r>
            <w:r w:rsidRPr="00F06A1F">
              <w:rPr>
                <w:rFonts w:asciiTheme="minorHAnsi" w:eastAsiaTheme="minorEastAsia" w:hAnsiTheme="minorHAnsi" w:cstheme="minorBidi"/>
                <w:sz w:val="20"/>
                <w:szCs w:val="20"/>
                <w:lang w:val="en-US" w:eastAsia="it-IT"/>
              </w:rPr>
              <w:t>under the Ministry of Finance</w:t>
            </w:r>
            <w:r w:rsidR="00D70F1D">
              <w:rPr>
                <w:rFonts w:asciiTheme="minorHAnsi" w:eastAsiaTheme="minorEastAsia" w:hAnsiTheme="minorHAnsi" w:cstheme="minorBidi"/>
                <w:sz w:val="20"/>
                <w:szCs w:val="20"/>
                <w:lang w:val="en-US" w:eastAsia="it-IT"/>
              </w:rPr>
              <w:t xml:space="preserve">, </w:t>
            </w:r>
            <w:proofErr w:type="spellStart"/>
            <w:r w:rsidR="00D70F1D">
              <w:rPr>
                <w:rFonts w:asciiTheme="minorHAnsi" w:eastAsiaTheme="minorEastAsia" w:hAnsiTheme="minorHAnsi" w:cstheme="minorBidi"/>
                <w:sz w:val="20"/>
                <w:szCs w:val="20"/>
                <w:lang w:val="en-US" w:eastAsia="it-IT"/>
              </w:rPr>
              <w:t>MoF</w:t>
            </w:r>
            <w:proofErr w:type="spellEnd"/>
            <w:r w:rsidRPr="00F06A1F">
              <w:rPr>
                <w:rFonts w:asciiTheme="minorHAnsi" w:eastAsiaTheme="minorEastAsia" w:hAnsiTheme="minorHAnsi" w:cstheme="minorBidi"/>
                <w:sz w:val="20"/>
                <w:szCs w:val="20"/>
                <w:lang w:val="en-US" w:eastAsia="it-IT"/>
              </w:rPr>
              <w:t xml:space="preserve">) and the National Board of Education </w:t>
            </w:r>
            <w:r w:rsidR="00627AB2">
              <w:rPr>
                <w:rFonts w:asciiTheme="minorHAnsi" w:eastAsiaTheme="minorEastAsia" w:hAnsiTheme="minorHAnsi" w:cstheme="minorBidi"/>
                <w:sz w:val="20"/>
                <w:szCs w:val="20"/>
                <w:lang w:val="en-US" w:eastAsia="it-IT"/>
              </w:rPr>
              <w:t>(FNBE</w:t>
            </w:r>
            <w:r w:rsidR="00D70F1D">
              <w:rPr>
                <w:rFonts w:asciiTheme="minorHAnsi" w:eastAsiaTheme="minorEastAsia" w:hAnsiTheme="minorHAnsi" w:cstheme="minorBidi"/>
                <w:sz w:val="20"/>
                <w:szCs w:val="20"/>
                <w:lang w:val="en-US" w:eastAsia="it-IT"/>
              </w:rPr>
              <w:t xml:space="preserve">, </w:t>
            </w:r>
            <w:r w:rsidRPr="00F06A1F">
              <w:rPr>
                <w:rFonts w:asciiTheme="minorHAnsi" w:eastAsiaTheme="minorEastAsia" w:hAnsiTheme="minorHAnsi" w:cstheme="minorBidi"/>
                <w:sz w:val="20"/>
                <w:szCs w:val="20"/>
                <w:lang w:val="en-US" w:eastAsia="it-IT"/>
              </w:rPr>
              <w:t xml:space="preserve">under the </w:t>
            </w:r>
            <w:r w:rsidR="00627AB2">
              <w:rPr>
                <w:rFonts w:asciiTheme="minorHAnsi" w:eastAsiaTheme="minorEastAsia" w:hAnsiTheme="minorHAnsi" w:cstheme="minorBidi"/>
                <w:sz w:val="20"/>
                <w:szCs w:val="20"/>
                <w:lang w:val="en-US" w:eastAsia="it-IT"/>
              </w:rPr>
              <w:t xml:space="preserve">Ministry of Education and Culture, </w:t>
            </w:r>
            <w:proofErr w:type="spellStart"/>
            <w:r w:rsidR="00627AB2">
              <w:rPr>
                <w:rFonts w:asciiTheme="minorHAnsi" w:eastAsiaTheme="minorEastAsia" w:hAnsiTheme="minorHAnsi" w:cstheme="minorBidi"/>
                <w:sz w:val="20"/>
                <w:szCs w:val="20"/>
                <w:lang w:val="en-US" w:eastAsia="it-IT"/>
              </w:rPr>
              <w:t>MoEC</w:t>
            </w:r>
            <w:proofErr w:type="spellEnd"/>
            <w:r w:rsidRPr="00F06A1F">
              <w:rPr>
                <w:rFonts w:asciiTheme="minorHAnsi" w:eastAsiaTheme="minorEastAsia" w:hAnsiTheme="minorHAnsi" w:cstheme="minorBidi"/>
                <w:sz w:val="20"/>
                <w:szCs w:val="20"/>
                <w:lang w:val="en-US" w:eastAsia="it-IT"/>
              </w:rPr>
              <w:t xml:space="preserve">). </w:t>
            </w:r>
          </w:p>
          <w:p w:rsidR="00442F82" w:rsidRPr="00627AB2" w:rsidRDefault="00442F82" w:rsidP="00442F82">
            <w:pPr>
              <w:autoSpaceDE w:val="0"/>
              <w:autoSpaceDN w:val="0"/>
              <w:adjustRightInd w:val="0"/>
              <w:rPr>
                <w:rFonts w:cs="Arial"/>
                <w:sz w:val="20"/>
                <w:szCs w:val="20"/>
                <w:lang w:val="en-US" w:eastAsia="en-GB"/>
              </w:rPr>
            </w:pPr>
          </w:p>
          <w:p w:rsidR="00442F82" w:rsidRPr="009A23DD" w:rsidRDefault="00442F82" w:rsidP="00442F82">
            <w:pPr>
              <w:autoSpaceDE w:val="0"/>
              <w:autoSpaceDN w:val="0"/>
              <w:adjustRightInd w:val="0"/>
              <w:rPr>
                <w:rFonts w:cs="Arial"/>
                <w:color w:val="0070C0"/>
                <w:sz w:val="20"/>
                <w:szCs w:val="20"/>
                <w:lang w:val="en-US" w:eastAsia="en-GB"/>
              </w:rPr>
            </w:pPr>
            <w:r w:rsidRPr="009A23DD">
              <w:rPr>
                <w:rFonts w:cs="Arial"/>
                <w:color w:val="0070C0"/>
                <w:sz w:val="20"/>
                <w:szCs w:val="20"/>
                <w:lang w:val="en-US" w:eastAsia="en-GB"/>
              </w:rPr>
              <w:t xml:space="preserve">Long-term workforce forecasts are produced by the </w:t>
            </w:r>
            <w:r w:rsidR="00D70F1D" w:rsidRPr="009A23DD">
              <w:rPr>
                <w:rFonts w:cs="Arial"/>
                <w:color w:val="0070C0"/>
                <w:sz w:val="20"/>
                <w:szCs w:val="20"/>
                <w:lang w:val="en-US" w:eastAsia="en-GB"/>
              </w:rPr>
              <w:t>VATT</w:t>
            </w:r>
            <w:r w:rsidR="00472B49" w:rsidRPr="009A23DD">
              <w:rPr>
                <w:rFonts w:cs="Arial"/>
                <w:color w:val="0070C0"/>
                <w:sz w:val="20"/>
                <w:szCs w:val="20"/>
                <w:lang w:val="en-US" w:eastAsia="en-GB"/>
              </w:rPr>
              <w:t xml:space="preserve"> </w:t>
            </w:r>
            <w:r w:rsidRPr="009A23DD">
              <w:rPr>
                <w:rFonts w:cs="Arial"/>
                <w:color w:val="0070C0"/>
                <w:sz w:val="20"/>
                <w:szCs w:val="20"/>
                <w:lang w:val="en-US" w:eastAsia="en-GB"/>
              </w:rPr>
              <w:t xml:space="preserve"> and commissioned by a collaborative group of four ministries. They are the </w:t>
            </w:r>
            <w:r w:rsidR="00D70F1D" w:rsidRPr="00D70F1D">
              <w:rPr>
                <w:color w:val="0070C0"/>
                <w:sz w:val="20"/>
                <w:szCs w:val="20"/>
                <w:lang w:val="en-US"/>
              </w:rPr>
              <w:t xml:space="preserve">Ministry of </w:t>
            </w:r>
            <w:r w:rsidR="00D70F1D" w:rsidRPr="009A23DD">
              <w:rPr>
                <w:color w:val="0070C0"/>
                <w:sz w:val="20"/>
                <w:szCs w:val="20"/>
                <w:lang w:val="en-US" w:eastAsia="en-GB"/>
              </w:rPr>
              <w:t>Employment and the Economy</w:t>
            </w:r>
            <w:r w:rsidR="00D70F1D" w:rsidRPr="009A23DD">
              <w:rPr>
                <w:rFonts w:cs="Arial"/>
                <w:color w:val="0070C0"/>
                <w:sz w:val="20"/>
                <w:szCs w:val="20"/>
                <w:lang w:val="en-US" w:eastAsia="en-GB"/>
              </w:rPr>
              <w:t xml:space="preserve"> (</w:t>
            </w:r>
            <w:proofErr w:type="spellStart"/>
            <w:r w:rsidR="00D70F1D" w:rsidRPr="009A23DD">
              <w:rPr>
                <w:rFonts w:cs="Arial"/>
                <w:color w:val="0070C0"/>
                <w:sz w:val="20"/>
                <w:szCs w:val="20"/>
                <w:lang w:val="en-US" w:eastAsia="en-GB"/>
              </w:rPr>
              <w:t>MoEE</w:t>
            </w:r>
            <w:proofErr w:type="spellEnd"/>
            <w:r w:rsidR="00D70F1D" w:rsidRPr="009A23DD">
              <w:rPr>
                <w:rFonts w:cs="Arial"/>
                <w:color w:val="0070C0"/>
                <w:sz w:val="20"/>
                <w:szCs w:val="20"/>
                <w:lang w:val="en-US" w:eastAsia="en-GB"/>
              </w:rPr>
              <w:t xml:space="preserve">), </w:t>
            </w:r>
            <w:r w:rsidRPr="009A23DD">
              <w:rPr>
                <w:rFonts w:cs="Arial"/>
                <w:color w:val="0070C0"/>
                <w:sz w:val="20"/>
                <w:szCs w:val="20"/>
                <w:lang w:val="en-US" w:eastAsia="en-GB"/>
              </w:rPr>
              <w:t xml:space="preserve"> the </w:t>
            </w:r>
            <w:proofErr w:type="spellStart"/>
            <w:r w:rsidR="00D70F1D" w:rsidRPr="009A23DD">
              <w:rPr>
                <w:rFonts w:cs="Arial"/>
                <w:color w:val="0070C0"/>
                <w:sz w:val="20"/>
                <w:szCs w:val="20"/>
                <w:lang w:val="en-US" w:eastAsia="en-GB"/>
              </w:rPr>
              <w:t>MoF</w:t>
            </w:r>
            <w:proofErr w:type="spellEnd"/>
            <w:r w:rsidRPr="009A23DD">
              <w:rPr>
                <w:rFonts w:cs="Arial"/>
                <w:color w:val="0070C0"/>
                <w:sz w:val="20"/>
                <w:szCs w:val="20"/>
                <w:lang w:val="en-US" w:eastAsia="en-GB"/>
              </w:rPr>
              <w:t xml:space="preserve">, the </w:t>
            </w:r>
            <w:proofErr w:type="spellStart"/>
            <w:r w:rsidR="00627AB2" w:rsidRPr="009A23DD">
              <w:rPr>
                <w:rFonts w:cs="Arial"/>
                <w:color w:val="0070C0"/>
                <w:sz w:val="20"/>
                <w:szCs w:val="20"/>
                <w:lang w:val="en-US" w:eastAsia="en-GB"/>
              </w:rPr>
              <w:t>MoEC</w:t>
            </w:r>
            <w:proofErr w:type="spellEnd"/>
            <w:r w:rsidRPr="009A23DD">
              <w:rPr>
                <w:rFonts w:cs="Arial"/>
                <w:color w:val="0070C0"/>
                <w:sz w:val="20"/>
                <w:szCs w:val="20"/>
                <w:lang w:val="en-US" w:eastAsia="en-GB"/>
              </w:rPr>
              <w:t xml:space="preserve"> and the </w:t>
            </w:r>
            <w:r w:rsidR="00627AB2" w:rsidRPr="009A23DD">
              <w:rPr>
                <w:rFonts w:cs="Arial"/>
                <w:color w:val="0070C0"/>
                <w:sz w:val="20"/>
                <w:szCs w:val="20"/>
                <w:lang w:val="en-US" w:eastAsia="en-GB"/>
              </w:rPr>
              <w:t>Ministry of Social Affairs and Health (</w:t>
            </w:r>
            <w:proofErr w:type="spellStart"/>
            <w:r w:rsidR="00627AB2" w:rsidRPr="009A23DD">
              <w:rPr>
                <w:rFonts w:cs="Arial"/>
                <w:color w:val="0070C0"/>
                <w:sz w:val="20"/>
                <w:szCs w:val="20"/>
                <w:lang w:val="en-US" w:eastAsia="en-GB"/>
              </w:rPr>
              <w:t>MoSocH</w:t>
            </w:r>
            <w:proofErr w:type="spellEnd"/>
            <w:r w:rsidR="00627AB2" w:rsidRPr="009A23DD">
              <w:rPr>
                <w:rFonts w:cs="Arial"/>
                <w:color w:val="0070C0"/>
                <w:sz w:val="20"/>
                <w:szCs w:val="20"/>
                <w:lang w:val="en-US" w:eastAsia="en-GB"/>
              </w:rPr>
              <w:t>)</w:t>
            </w:r>
            <w:r w:rsidRPr="009A23DD">
              <w:rPr>
                <w:rFonts w:cs="Arial"/>
                <w:color w:val="0070C0"/>
                <w:sz w:val="20"/>
                <w:szCs w:val="20"/>
                <w:lang w:val="en-US" w:eastAsia="en-GB"/>
              </w:rPr>
              <w:t xml:space="preserve">. </w:t>
            </w:r>
          </w:p>
          <w:p w:rsidR="00560E79" w:rsidRPr="009A23DD" w:rsidRDefault="00560E79" w:rsidP="00442F82">
            <w:pPr>
              <w:autoSpaceDE w:val="0"/>
              <w:autoSpaceDN w:val="0"/>
              <w:adjustRightInd w:val="0"/>
              <w:rPr>
                <w:rFonts w:cs="Arial"/>
                <w:color w:val="0070C0"/>
                <w:sz w:val="20"/>
                <w:szCs w:val="20"/>
                <w:lang w:val="en-US" w:eastAsia="en-GB"/>
              </w:rPr>
            </w:pPr>
          </w:p>
          <w:p w:rsidR="00442F82" w:rsidRPr="009A23DD" w:rsidRDefault="00442F82" w:rsidP="00442F82">
            <w:pPr>
              <w:autoSpaceDE w:val="0"/>
              <w:autoSpaceDN w:val="0"/>
              <w:adjustRightInd w:val="0"/>
              <w:rPr>
                <w:rFonts w:cs="Arial"/>
                <w:color w:val="0070C0"/>
                <w:sz w:val="20"/>
                <w:szCs w:val="20"/>
                <w:lang w:val="en-US" w:eastAsia="en-GB"/>
              </w:rPr>
            </w:pPr>
            <w:r w:rsidRPr="009A23DD">
              <w:rPr>
                <w:rFonts w:cs="Arial"/>
                <w:color w:val="0070C0"/>
                <w:sz w:val="20"/>
                <w:szCs w:val="20"/>
                <w:lang w:val="en-US" w:eastAsia="en-GB"/>
              </w:rPr>
              <w:t xml:space="preserve">Forecasts on educational needs and proposals for entrant targets are produced by the </w:t>
            </w:r>
            <w:r w:rsidR="00D70F1D" w:rsidRPr="009A23DD">
              <w:rPr>
                <w:rFonts w:cs="Arial"/>
                <w:color w:val="0070C0"/>
                <w:sz w:val="20"/>
                <w:szCs w:val="20"/>
                <w:lang w:val="en-US" w:eastAsia="en-GB"/>
              </w:rPr>
              <w:t>FNBE</w:t>
            </w:r>
            <w:r w:rsidRPr="009A23DD">
              <w:rPr>
                <w:rFonts w:cs="Arial"/>
                <w:color w:val="0070C0"/>
                <w:sz w:val="20"/>
                <w:szCs w:val="20"/>
                <w:lang w:val="en-US" w:eastAsia="en-GB"/>
              </w:rPr>
              <w:t xml:space="preserve"> on the basis of the forecasts on workforce demand. The </w:t>
            </w:r>
            <w:proofErr w:type="spellStart"/>
            <w:r w:rsidR="00627AB2" w:rsidRPr="009A23DD">
              <w:rPr>
                <w:rFonts w:cs="Arial"/>
                <w:color w:val="0070C0"/>
                <w:sz w:val="20"/>
                <w:szCs w:val="20"/>
                <w:lang w:val="en-US" w:eastAsia="en-GB"/>
              </w:rPr>
              <w:t>MoEC</w:t>
            </w:r>
            <w:proofErr w:type="spellEnd"/>
            <w:r w:rsidRPr="009A23DD">
              <w:rPr>
                <w:rFonts w:cs="Arial"/>
                <w:color w:val="0070C0"/>
                <w:sz w:val="20"/>
                <w:szCs w:val="20"/>
                <w:lang w:val="en-US" w:eastAsia="en-GB"/>
              </w:rPr>
              <w:t xml:space="preserve"> appoints a wide groups of experts to steer and provide </w:t>
            </w:r>
            <w:proofErr w:type="spellStart"/>
            <w:r w:rsidRPr="009A23DD">
              <w:rPr>
                <w:rFonts w:cs="Arial"/>
                <w:color w:val="0070C0"/>
                <w:sz w:val="20"/>
                <w:szCs w:val="20"/>
                <w:lang w:val="en-US" w:eastAsia="en-GB"/>
              </w:rPr>
              <w:t>expertice</w:t>
            </w:r>
            <w:proofErr w:type="spellEnd"/>
            <w:r w:rsidRPr="009A23DD">
              <w:rPr>
                <w:rFonts w:cs="Arial"/>
                <w:color w:val="0070C0"/>
                <w:sz w:val="20"/>
                <w:szCs w:val="20"/>
                <w:lang w:val="en-US" w:eastAsia="en-GB"/>
              </w:rPr>
              <w:t xml:space="preserve"> of different industries for the phase of forecasting educational needs.  These experts present e.g. the </w:t>
            </w:r>
            <w:proofErr w:type="spellStart"/>
            <w:r w:rsidR="00627AB2" w:rsidRPr="009A23DD">
              <w:rPr>
                <w:rFonts w:cs="Arial"/>
                <w:color w:val="0070C0"/>
                <w:sz w:val="20"/>
                <w:szCs w:val="20"/>
                <w:lang w:val="en-US" w:eastAsia="en-GB"/>
              </w:rPr>
              <w:t>MoSocH</w:t>
            </w:r>
            <w:proofErr w:type="spellEnd"/>
            <w:r w:rsidRPr="009A23DD">
              <w:rPr>
                <w:rFonts w:cs="Arial"/>
                <w:color w:val="0070C0"/>
                <w:sz w:val="20"/>
                <w:szCs w:val="20"/>
                <w:lang w:val="en-US" w:eastAsia="en-GB"/>
              </w:rPr>
              <w:t xml:space="preserve">, the </w:t>
            </w:r>
            <w:r w:rsidR="00BB7041" w:rsidRPr="009A23DD">
              <w:rPr>
                <w:rFonts w:cs="Arial"/>
                <w:color w:val="0070C0"/>
                <w:sz w:val="20"/>
                <w:szCs w:val="20"/>
                <w:lang w:val="en-US" w:eastAsia="en-GB"/>
              </w:rPr>
              <w:t>KT</w:t>
            </w:r>
            <w:r w:rsidRPr="009A23DD">
              <w:rPr>
                <w:rFonts w:cs="Arial"/>
                <w:color w:val="0070C0"/>
                <w:sz w:val="20"/>
                <w:szCs w:val="20"/>
                <w:lang w:val="en-US" w:eastAsia="en-GB"/>
              </w:rPr>
              <w:t xml:space="preserve">, trade unions, regional authorities and other stakeholders.  </w:t>
            </w:r>
          </w:p>
          <w:p w:rsidR="00442F82" w:rsidRPr="009A23DD" w:rsidRDefault="00442F82" w:rsidP="00442F82">
            <w:pPr>
              <w:autoSpaceDE w:val="0"/>
              <w:autoSpaceDN w:val="0"/>
              <w:adjustRightInd w:val="0"/>
              <w:rPr>
                <w:rFonts w:cs="Arial"/>
                <w:color w:val="0070C0"/>
                <w:sz w:val="20"/>
                <w:szCs w:val="20"/>
                <w:lang w:val="en-US" w:eastAsia="en-GB"/>
              </w:rPr>
            </w:pPr>
          </w:p>
          <w:p w:rsidR="00442F82" w:rsidRPr="00560E79" w:rsidRDefault="00442F82" w:rsidP="00442F82">
            <w:pPr>
              <w:autoSpaceDE w:val="0"/>
              <w:autoSpaceDN w:val="0"/>
              <w:adjustRightInd w:val="0"/>
              <w:rPr>
                <w:bCs/>
                <w:color w:val="0070C0"/>
                <w:sz w:val="20"/>
                <w:szCs w:val="20"/>
                <w:lang w:val="en-US" w:eastAsia="ja-JP"/>
              </w:rPr>
            </w:pPr>
            <w:r w:rsidRPr="009A23DD">
              <w:rPr>
                <w:rFonts w:cs="Arial"/>
                <w:color w:val="0070C0"/>
                <w:sz w:val="20"/>
                <w:szCs w:val="20"/>
                <w:lang w:val="en-US" w:eastAsia="en-GB"/>
              </w:rPr>
              <w:t>Entrant targets are adopted by the Government every four years as a part of the development plan for education and university research.</w:t>
            </w:r>
            <w:r w:rsidRPr="009A23DD">
              <w:rPr>
                <w:bCs/>
                <w:color w:val="0070C0"/>
                <w:sz w:val="20"/>
                <w:szCs w:val="20"/>
                <w:lang w:val="en-US" w:eastAsia="en-US"/>
              </w:rPr>
              <w:t xml:space="preserve"> The Decree on the Development Plan for Education and University Research (987/1998) regulates the preparation of the development plan for education and university research. </w:t>
            </w:r>
          </w:p>
          <w:p w:rsidR="00514B16" w:rsidRPr="009A23DD" w:rsidRDefault="00514B16" w:rsidP="00DA6D66">
            <w:pPr>
              <w:autoSpaceDE w:val="0"/>
              <w:autoSpaceDN w:val="0"/>
              <w:adjustRightInd w:val="0"/>
              <w:rPr>
                <w:rFonts w:cs="Arial"/>
                <w:sz w:val="20"/>
                <w:szCs w:val="20"/>
                <w:lang w:val="en-US" w:eastAsia="en-GB"/>
              </w:rPr>
            </w:pPr>
          </w:p>
          <w:p w:rsidR="00514B16" w:rsidRPr="00F06A1F" w:rsidRDefault="00514B16" w:rsidP="00514B16">
            <w:pPr>
              <w:pStyle w:val="Default"/>
              <w:rPr>
                <w:rFonts w:asciiTheme="minorHAnsi" w:hAnsiTheme="minorHAnsi" w:cstheme="minorBidi"/>
                <w:color w:val="auto"/>
                <w:sz w:val="20"/>
                <w:szCs w:val="20"/>
                <w:lang w:val="en-US"/>
              </w:rPr>
            </w:pPr>
            <w:r w:rsidRPr="00F06A1F">
              <w:rPr>
                <w:rFonts w:asciiTheme="minorHAnsi" w:hAnsiTheme="minorHAnsi" w:cstheme="minorBidi"/>
                <w:color w:val="auto"/>
                <w:sz w:val="20"/>
                <w:szCs w:val="20"/>
                <w:lang w:val="en-US"/>
              </w:rPr>
              <w:t xml:space="preserve">Regional councils have a statutory responsibility (Act 1651/2009) to coordinate the regional preparation of the long-term and medium-term forecasts for educational needs as a part of the preparation of the development plan for education and university research. According to the Health Care Act (1326/2010) the primary health care units in hospital districts have to ensure adequate human resources and the hospital districts within a catchment area for highly </w:t>
            </w:r>
            <w:proofErr w:type="spellStart"/>
            <w:r w:rsidRPr="00F06A1F">
              <w:rPr>
                <w:rFonts w:asciiTheme="minorHAnsi" w:hAnsiTheme="minorHAnsi" w:cstheme="minorBidi"/>
                <w:color w:val="auto"/>
                <w:sz w:val="20"/>
                <w:szCs w:val="20"/>
                <w:lang w:val="en-US"/>
              </w:rPr>
              <w:t>specialised</w:t>
            </w:r>
            <w:proofErr w:type="spellEnd"/>
            <w:r w:rsidRPr="00F06A1F">
              <w:rPr>
                <w:rFonts w:asciiTheme="minorHAnsi" w:hAnsiTheme="minorHAnsi" w:cstheme="minorBidi"/>
                <w:color w:val="auto"/>
                <w:sz w:val="20"/>
                <w:szCs w:val="20"/>
                <w:lang w:val="en-US"/>
              </w:rPr>
              <w:t xml:space="preserve"> medical care have to coordinate the demand for labor and the supply of training with regional councils.(Source: Matrix’s Feasibility Study).</w:t>
            </w:r>
          </w:p>
          <w:p w:rsidR="00FF4D44" w:rsidRPr="00F06A1F" w:rsidRDefault="00FF4D44" w:rsidP="001D1C1B">
            <w:pPr>
              <w:pStyle w:val="Default"/>
              <w:rPr>
                <w:rFonts w:asciiTheme="minorHAnsi" w:hAnsiTheme="minorHAnsi" w:cstheme="minorBidi"/>
                <w:color w:val="auto"/>
                <w:sz w:val="20"/>
                <w:szCs w:val="20"/>
                <w:lang w:val="en-US"/>
              </w:rPr>
            </w:pPr>
          </w:p>
          <w:p w:rsidR="00FF4D44" w:rsidRPr="00F06A1F" w:rsidRDefault="00FF4D44" w:rsidP="00FF4D44">
            <w:pPr>
              <w:pStyle w:val="Default"/>
              <w:rPr>
                <w:rFonts w:asciiTheme="minorHAnsi" w:hAnsiTheme="minorHAnsi" w:cstheme="minorBidi"/>
                <w:color w:val="auto"/>
                <w:sz w:val="20"/>
                <w:szCs w:val="20"/>
                <w:lang w:val="en-US"/>
              </w:rPr>
            </w:pPr>
            <w:r w:rsidRPr="00F06A1F">
              <w:rPr>
                <w:rFonts w:asciiTheme="minorHAnsi" w:hAnsiTheme="minorHAnsi" w:cstheme="minorBidi"/>
                <w:color w:val="auto"/>
                <w:sz w:val="20"/>
                <w:szCs w:val="20"/>
                <w:lang w:val="en-US"/>
              </w:rPr>
              <w:t xml:space="preserve">The role of regional and local players should be strengthened. In particular, </w:t>
            </w:r>
            <w:r w:rsidRPr="00F06A1F">
              <w:rPr>
                <w:rFonts w:asciiTheme="minorHAnsi" w:hAnsiTheme="minorHAnsi" w:cstheme="minorBidi"/>
                <w:color w:val="auto"/>
                <w:sz w:val="20"/>
                <w:szCs w:val="20"/>
                <w:lang w:val="en-US"/>
              </w:rPr>
              <w:lastRenderedPageBreak/>
              <w:t xml:space="preserve">regional and local health providers and professional </w:t>
            </w:r>
            <w:proofErr w:type="spellStart"/>
            <w:r w:rsidRPr="00F06A1F">
              <w:rPr>
                <w:rFonts w:asciiTheme="minorHAnsi" w:hAnsiTheme="minorHAnsi" w:cstheme="minorBidi"/>
                <w:color w:val="auto"/>
                <w:sz w:val="20"/>
                <w:szCs w:val="20"/>
                <w:lang w:val="en-US"/>
              </w:rPr>
              <w:t>organisations</w:t>
            </w:r>
            <w:proofErr w:type="spellEnd"/>
            <w:r w:rsidRPr="00F06A1F">
              <w:rPr>
                <w:rFonts w:asciiTheme="minorHAnsi" w:hAnsiTheme="minorHAnsi" w:cstheme="minorBidi"/>
                <w:color w:val="auto"/>
                <w:sz w:val="20"/>
                <w:szCs w:val="20"/>
                <w:lang w:val="en-US"/>
              </w:rPr>
              <w:t xml:space="preserve"> should be given the opportunity to contribute to the forecasting, as they might have more specific inside knowledge to predict future developments </w:t>
            </w:r>
          </w:p>
          <w:p w:rsidR="00FF4D44" w:rsidRPr="00F06A1F" w:rsidRDefault="00FF4D44" w:rsidP="00FF4D44">
            <w:pPr>
              <w:pStyle w:val="Default"/>
              <w:rPr>
                <w:rFonts w:asciiTheme="minorHAnsi" w:hAnsiTheme="minorHAnsi" w:cstheme="minorBidi"/>
                <w:color w:val="auto"/>
                <w:sz w:val="20"/>
                <w:szCs w:val="20"/>
                <w:lang w:val="en-US"/>
              </w:rPr>
            </w:pPr>
            <w:r w:rsidRPr="00F06A1F">
              <w:rPr>
                <w:rFonts w:asciiTheme="minorHAnsi" w:hAnsiTheme="minorHAnsi" w:cstheme="minorBidi"/>
                <w:color w:val="auto"/>
                <w:sz w:val="20"/>
                <w:szCs w:val="20"/>
                <w:lang w:val="en-US"/>
              </w:rPr>
              <w:t xml:space="preserve">In this sense, the Health Care Act which came into force in May 2011 establishes that the primary health care unit in a hospital district should ensure the sufficiency of the human resources and should coordinate the demand for </w:t>
            </w:r>
            <w:proofErr w:type="spellStart"/>
            <w:r w:rsidRPr="00F06A1F">
              <w:rPr>
                <w:rFonts w:asciiTheme="minorHAnsi" w:hAnsiTheme="minorHAnsi" w:cstheme="minorBidi"/>
                <w:color w:val="auto"/>
                <w:sz w:val="20"/>
                <w:szCs w:val="20"/>
                <w:lang w:val="en-US"/>
              </w:rPr>
              <w:t>labour</w:t>
            </w:r>
            <w:proofErr w:type="spellEnd"/>
            <w:r w:rsidRPr="00F06A1F">
              <w:rPr>
                <w:rFonts w:asciiTheme="minorHAnsi" w:hAnsiTheme="minorHAnsi" w:cstheme="minorBidi"/>
                <w:color w:val="auto"/>
                <w:sz w:val="20"/>
                <w:szCs w:val="20"/>
                <w:lang w:val="en-US"/>
              </w:rPr>
              <w:t xml:space="preserve"> and the supply of training with regional councils. These new regulations strengthen the role of regional health care </w:t>
            </w:r>
            <w:proofErr w:type="spellStart"/>
            <w:r w:rsidRPr="00F06A1F">
              <w:rPr>
                <w:rFonts w:asciiTheme="minorHAnsi" w:hAnsiTheme="minorHAnsi" w:cstheme="minorBidi"/>
                <w:color w:val="auto"/>
                <w:sz w:val="20"/>
                <w:szCs w:val="20"/>
                <w:lang w:val="en-US"/>
              </w:rPr>
              <w:t>organisations</w:t>
            </w:r>
            <w:proofErr w:type="spellEnd"/>
            <w:r w:rsidRPr="00F06A1F">
              <w:rPr>
                <w:rFonts w:asciiTheme="minorHAnsi" w:hAnsiTheme="minorHAnsi" w:cstheme="minorBidi"/>
                <w:color w:val="auto"/>
                <w:sz w:val="20"/>
                <w:szCs w:val="20"/>
                <w:lang w:val="en-US"/>
              </w:rPr>
              <w:t xml:space="preserve"> in the analysis and forecast of workforce demand and educational needs.</w:t>
            </w:r>
          </w:p>
          <w:p w:rsidR="00FF4D44" w:rsidRPr="00F06A1F" w:rsidRDefault="00FF4D44" w:rsidP="00FF4D44">
            <w:pPr>
              <w:pStyle w:val="Default"/>
              <w:rPr>
                <w:rFonts w:asciiTheme="minorHAnsi" w:hAnsiTheme="minorHAnsi" w:cstheme="minorBidi"/>
                <w:color w:val="auto"/>
                <w:sz w:val="20"/>
                <w:szCs w:val="20"/>
                <w:lang w:val="en-US"/>
              </w:rPr>
            </w:pPr>
            <w:r w:rsidRPr="00F06A1F">
              <w:rPr>
                <w:rFonts w:asciiTheme="minorHAnsi" w:hAnsiTheme="minorHAnsi" w:cstheme="minorBidi"/>
                <w:color w:val="auto"/>
                <w:sz w:val="20"/>
                <w:szCs w:val="20"/>
                <w:lang w:val="en-US"/>
              </w:rPr>
              <w:t>(Source: Matrix’s Feasibility Study).</w:t>
            </w:r>
          </w:p>
          <w:p w:rsidR="00E34056" w:rsidRPr="00A412A0" w:rsidRDefault="00E34056" w:rsidP="00A412A0">
            <w:pPr>
              <w:pStyle w:val="Default"/>
              <w:rPr>
                <w:sz w:val="16"/>
                <w:szCs w:val="16"/>
                <w:lang w:val="en-US"/>
              </w:rPr>
            </w:pPr>
          </w:p>
        </w:tc>
        <w:tc>
          <w:tcPr>
            <w:tcW w:w="4614" w:type="dxa"/>
          </w:tcPr>
          <w:p w:rsidR="006711DA" w:rsidRDefault="006711DA">
            <w:pPr>
              <w:rPr>
                <w:lang w:val="en-US"/>
              </w:rPr>
            </w:pPr>
          </w:p>
        </w:tc>
      </w:tr>
      <w:tr w:rsidR="00130DEA" w:rsidRPr="009A23DD" w:rsidTr="00EE0144">
        <w:tc>
          <w:tcPr>
            <w:tcW w:w="2964" w:type="dxa"/>
          </w:tcPr>
          <w:p w:rsidR="00130DEA" w:rsidRDefault="00130DEA" w:rsidP="007F6F1F">
            <w:pPr>
              <w:rPr>
                <w:u w:val="single"/>
                <w:lang w:val="en-US"/>
              </w:rPr>
            </w:pPr>
            <w:r w:rsidRPr="00130DEA">
              <w:rPr>
                <w:u w:val="single"/>
                <w:lang w:val="en-US"/>
              </w:rPr>
              <w:lastRenderedPageBreak/>
              <w:t>Staff members</w:t>
            </w:r>
            <w:r>
              <w:rPr>
                <w:u w:val="single"/>
                <w:lang w:val="en-US"/>
              </w:rPr>
              <w:t>.</w:t>
            </w:r>
          </w:p>
          <w:p w:rsidR="00130DEA" w:rsidRPr="00F06A1F" w:rsidRDefault="00130DEA" w:rsidP="007F6F1F">
            <w:pPr>
              <w:rPr>
                <w:sz w:val="20"/>
                <w:szCs w:val="20"/>
                <w:lang w:val="en-US"/>
              </w:rPr>
            </w:pPr>
          </w:p>
          <w:p w:rsidR="00130DEA" w:rsidRPr="00F06A1F" w:rsidRDefault="00130DEA" w:rsidP="007F6F1F">
            <w:pPr>
              <w:pStyle w:val="Paragrafoelenco"/>
              <w:numPr>
                <w:ilvl w:val="0"/>
                <w:numId w:val="5"/>
              </w:numPr>
              <w:spacing w:line="240" w:lineRule="auto"/>
              <w:jc w:val="left"/>
              <w:rPr>
                <w:sz w:val="20"/>
                <w:szCs w:val="20"/>
                <w:lang w:val="en-US"/>
              </w:rPr>
            </w:pPr>
            <w:r w:rsidRPr="00F06A1F">
              <w:rPr>
                <w:sz w:val="20"/>
                <w:szCs w:val="20"/>
                <w:lang w:val="en-US"/>
              </w:rPr>
              <w:t xml:space="preserve">How many people are involved in the planning institution? </w:t>
            </w:r>
          </w:p>
          <w:p w:rsidR="00130DEA" w:rsidRPr="00F06A1F" w:rsidRDefault="00130DEA" w:rsidP="007F6F1F">
            <w:pPr>
              <w:pStyle w:val="Paragrafoelenco"/>
              <w:numPr>
                <w:ilvl w:val="0"/>
                <w:numId w:val="5"/>
              </w:numPr>
              <w:spacing w:line="240" w:lineRule="auto"/>
              <w:jc w:val="left"/>
              <w:rPr>
                <w:sz w:val="20"/>
                <w:szCs w:val="20"/>
                <w:lang w:val="en-US"/>
              </w:rPr>
            </w:pPr>
            <w:r w:rsidRPr="00F06A1F">
              <w:rPr>
                <w:sz w:val="20"/>
                <w:szCs w:val="20"/>
                <w:lang w:val="en-US"/>
              </w:rPr>
              <w:t>Which competence profile?</w:t>
            </w:r>
          </w:p>
          <w:p w:rsidR="00130DEA" w:rsidRPr="00F06A1F" w:rsidRDefault="00130DEA" w:rsidP="007F6F1F">
            <w:pPr>
              <w:pStyle w:val="Paragrafoelenco"/>
              <w:numPr>
                <w:ilvl w:val="0"/>
                <w:numId w:val="5"/>
              </w:numPr>
              <w:spacing w:line="240" w:lineRule="auto"/>
              <w:jc w:val="left"/>
              <w:rPr>
                <w:sz w:val="20"/>
                <w:szCs w:val="20"/>
                <w:lang w:val="en-US"/>
              </w:rPr>
            </w:pPr>
            <w:r w:rsidRPr="00F06A1F">
              <w:rPr>
                <w:sz w:val="20"/>
                <w:szCs w:val="20"/>
                <w:lang w:val="en-US"/>
              </w:rPr>
              <w:t>Other people involved from external organizations?</w:t>
            </w:r>
          </w:p>
          <w:p w:rsidR="00130DEA" w:rsidRPr="00130DEA" w:rsidRDefault="00130DEA" w:rsidP="00130DEA">
            <w:pPr>
              <w:rPr>
                <w:u w:val="single"/>
                <w:lang w:val="en-US"/>
              </w:rPr>
            </w:pPr>
          </w:p>
        </w:tc>
        <w:tc>
          <w:tcPr>
            <w:tcW w:w="6925" w:type="dxa"/>
          </w:tcPr>
          <w:p w:rsidR="00FF4D44" w:rsidRDefault="00FF4D44" w:rsidP="007F6F1F">
            <w:pPr>
              <w:rPr>
                <w:sz w:val="16"/>
                <w:szCs w:val="16"/>
                <w:lang w:val="en-US"/>
              </w:rPr>
            </w:pPr>
          </w:p>
          <w:p w:rsidR="00FF4D44" w:rsidRPr="00F06A1F" w:rsidRDefault="003F174E" w:rsidP="007F6F1F">
            <w:pPr>
              <w:rPr>
                <w:sz w:val="20"/>
                <w:szCs w:val="20"/>
                <w:lang w:val="en-US"/>
              </w:rPr>
            </w:pPr>
            <w:r w:rsidRPr="00F06A1F">
              <w:rPr>
                <w:sz w:val="20"/>
                <w:szCs w:val="20"/>
                <w:lang w:val="en-US"/>
              </w:rPr>
              <w:t>Are there any specific Regional offices dedicated only to HWF planning and forecasting? No (source: WP5 survey)</w:t>
            </w:r>
          </w:p>
          <w:p w:rsidR="00F06A1F" w:rsidRPr="00F06A1F" w:rsidRDefault="00F06A1F" w:rsidP="007F6F1F">
            <w:pPr>
              <w:rPr>
                <w:sz w:val="20"/>
                <w:szCs w:val="20"/>
                <w:lang w:val="en-US"/>
              </w:rPr>
            </w:pPr>
          </w:p>
          <w:p w:rsidR="00130DEA" w:rsidRPr="00F06A1F" w:rsidRDefault="00FF4D44" w:rsidP="007F6F1F">
            <w:pPr>
              <w:rPr>
                <w:sz w:val="20"/>
                <w:szCs w:val="20"/>
                <w:lang w:val="en-US"/>
              </w:rPr>
            </w:pPr>
            <w:r w:rsidRPr="0004524F">
              <w:rPr>
                <w:sz w:val="20"/>
                <w:szCs w:val="20"/>
                <w:lang w:val="en-US"/>
              </w:rPr>
              <w:t>Modelling and analysis of the present and future supply of HRH is also well-developed in Finland. However, it appears that technical and financial resources allocated to the forecasting of health workforce supply and demand at the national level could be limited in the future. These could undermine future developments and ultimately reduce the modelling and analysis capacity of workforce planning institutions.</w:t>
            </w:r>
            <w:r w:rsidRPr="00F06A1F">
              <w:rPr>
                <w:sz w:val="20"/>
                <w:szCs w:val="20"/>
                <w:lang w:val="en-US"/>
              </w:rPr>
              <w:t xml:space="preserve"> (Source: Matrix’s Feasibility Study).</w:t>
            </w:r>
          </w:p>
          <w:p w:rsidR="00560E79" w:rsidRDefault="00560E79" w:rsidP="00560E79">
            <w:pPr>
              <w:rPr>
                <w:sz w:val="20"/>
                <w:szCs w:val="20"/>
                <w:lang w:val="en-US"/>
              </w:rPr>
            </w:pPr>
          </w:p>
          <w:p w:rsidR="00F06A1F" w:rsidRPr="00560E79" w:rsidRDefault="00F06A1F" w:rsidP="0004524F">
            <w:pPr>
              <w:rPr>
                <w:color w:val="0070C0"/>
                <w:lang w:val="en-US"/>
              </w:rPr>
            </w:pPr>
            <w:r w:rsidRPr="00560E79">
              <w:rPr>
                <w:color w:val="0070C0"/>
                <w:sz w:val="20"/>
                <w:szCs w:val="20"/>
                <w:lang w:val="en-US"/>
              </w:rPr>
              <w:t xml:space="preserve">At </w:t>
            </w:r>
            <w:proofErr w:type="spellStart"/>
            <w:r w:rsidRPr="00560E79">
              <w:rPr>
                <w:color w:val="0070C0"/>
                <w:sz w:val="20"/>
                <w:szCs w:val="20"/>
                <w:lang w:val="en-US"/>
              </w:rPr>
              <w:t>V</w:t>
            </w:r>
            <w:r w:rsidR="0004524F">
              <w:rPr>
                <w:color w:val="0070C0"/>
                <w:sz w:val="20"/>
                <w:szCs w:val="20"/>
                <w:lang w:val="en-US"/>
              </w:rPr>
              <w:t>ATT</w:t>
            </w:r>
            <w:r w:rsidRPr="00560E79">
              <w:rPr>
                <w:color w:val="0070C0"/>
                <w:sz w:val="20"/>
                <w:szCs w:val="20"/>
                <w:lang w:val="en-US"/>
              </w:rPr>
              <w:t>t</w:t>
            </w:r>
            <w:proofErr w:type="spellEnd"/>
            <w:r w:rsidRPr="00560E79">
              <w:rPr>
                <w:color w:val="0070C0"/>
                <w:sz w:val="20"/>
                <w:szCs w:val="20"/>
                <w:lang w:val="en-US"/>
              </w:rPr>
              <w:t xml:space="preserve"> there is a few people wo</w:t>
            </w:r>
            <w:r w:rsidR="00EE0144" w:rsidRPr="00560E79">
              <w:rPr>
                <w:color w:val="0070C0"/>
                <w:sz w:val="20"/>
                <w:szCs w:val="20"/>
                <w:lang w:val="en-US"/>
              </w:rPr>
              <w:t>r</w:t>
            </w:r>
            <w:r w:rsidRPr="00560E79">
              <w:rPr>
                <w:color w:val="0070C0"/>
                <w:sz w:val="20"/>
                <w:szCs w:val="20"/>
                <w:lang w:val="en-US"/>
              </w:rPr>
              <w:t xml:space="preserve">king on this but none of them full time, the model is run as normal exercise, senior level researches, At </w:t>
            </w:r>
            <w:proofErr w:type="spellStart"/>
            <w:r w:rsidRPr="00560E79">
              <w:rPr>
                <w:color w:val="0070C0"/>
                <w:sz w:val="20"/>
                <w:szCs w:val="20"/>
                <w:lang w:val="en-US"/>
              </w:rPr>
              <w:t>MoSocHealth</w:t>
            </w:r>
            <w:proofErr w:type="spellEnd"/>
            <w:r w:rsidRPr="00560E79">
              <w:rPr>
                <w:color w:val="0070C0"/>
                <w:sz w:val="20"/>
                <w:szCs w:val="20"/>
                <w:lang w:val="en-US"/>
              </w:rPr>
              <w:t xml:space="preserve">  there are </w:t>
            </w:r>
            <w:r w:rsidR="00DA6D66" w:rsidRPr="00560E79">
              <w:rPr>
                <w:color w:val="0070C0"/>
                <w:sz w:val="20"/>
                <w:szCs w:val="20"/>
                <w:lang w:val="en-US"/>
              </w:rPr>
              <w:t>five</w:t>
            </w:r>
            <w:r w:rsidRPr="00560E79">
              <w:rPr>
                <w:color w:val="0070C0"/>
                <w:sz w:val="20"/>
                <w:szCs w:val="20"/>
                <w:lang w:val="en-US"/>
              </w:rPr>
              <w:t xml:space="preserve"> senior level  people </w:t>
            </w:r>
            <w:r w:rsidR="00442F82" w:rsidRPr="00560E79">
              <w:rPr>
                <w:color w:val="0070C0"/>
                <w:sz w:val="20"/>
                <w:szCs w:val="20"/>
                <w:lang w:val="en-US"/>
              </w:rPr>
              <w:t xml:space="preserve">part </w:t>
            </w:r>
            <w:r w:rsidRPr="00560E79">
              <w:rPr>
                <w:color w:val="0070C0"/>
                <w:sz w:val="20"/>
                <w:szCs w:val="20"/>
                <w:lang w:val="en-US"/>
              </w:rPr>
              <w:t xml:space="preserve">time on this, at </w:t>
            </w:r>
            <w:proofErr w:type="spellStart"/>
            <w:r w:rsidRPr="00560E79">
              <w:rPr>
                <w:color w:val="0070C0"/>
                <w:sz w:val="20"/>
                <w:szCs w:val="20"/>
                <w:lang w:val="en-US"/>
              </w:rPr>
              <w:t>M</w:t>
            </w:r>
            <w:r w:rsidR="00560E79">
              <w:rPr>
                <w:color w:val="0070C0"/>
                <w:sz w:val="20"/>
                <w:szCs w:val="20"/>
                <w:lang w:val="en-US"/>
              </w:rPr>
              <w:t>o</w:t>
            </w:r>
            <w:r w:rsidRPr="00560E79">
              <w:rPr>
                <w:color w:val="0070C0"/>
                <w:sz w:val="20"/>
                <w:szCs w:val="20"/>
                <w:lang w:val="en-US"/>
              </w:rPr>
              <w:t>EC</w:t>
            </w:r>
            <w:proofErr w:type="spellEnd"/>
            <w:r w:rsidRPr="00560E79">
              <w:rPr>
                <w:color w:val="0070C0"/>
                <w:sz w:val="20"/>
                <w:szCs w:val="20"/>
                <w:lang w:val="en-US"/>
              </w:rPr>
              <w:t xml:space="preserve"> and FNBE 2-4 full time people senior level, but the work is not only for Health Sector</w:t>
            </w:r>
            <w:r w:rsidR="00442F82" w:rsidRPr="00560E79">
              <w:rPr>
                <w:color w:val="0070C0"/>
                <w:sz w:val="20"/>
                <w:szCs w:val="20"/>
                <w:lang w:val="en-US"/>
              </w:rPr>
              <w:t xml:space="preserve">. </w:t>
            </w:r>
            <w:r w:rsidR="00D70F1D">
              <w:rPr>
                <w:color w:val="0070C0"/>
                <w:sz w:val="20"/>
                <w:szCs w:val="20"/>
                <w:lang w:val="en-US"/>
              </w:rPr>
              <w:t>At</w:t>
            </w:r>
            <w:r w:rsidR="00442F82" w:rsidRPr="00560E79">
              <w:rPr>
                <w:color w:val="0070C0"/>
                <w:sz w:val="20"/>
                <w:szCs w:val="20"/>
                <w:lang w:val="en-US"/>
              </w:rPr>
              <w:t xml:space="preserve"> </w:t>
            </w:r>
            <w:r w:rsidR="00DA6D66" w:rsidRPr="009A23DD">
              <w:rPr>
                <w:rFonts w:cs="Arial"/>
                <w:color w:val="0070C0"/>
                <w:sz w:val="20"/>
                <w:szCs w:val="20"/>
                <w:lang w:val="en-US" w:eastAsia="en-GB"/>
              </w:rPr>
              <w:t xml:space="preserve">the </w:t>
            </w:r>
            <w:r w:rsidR="00D70F1D" w:rsidRPr="009A23DD">
              <w:rPr>
                <w:rFonts w:cs="Arial"/>
                <w:color w:val="0070C0"/>
                <w:sz w:val="20"/>
                <w:szCs w:val="20"/>
                <w:lang w:val="en-US" w:eastAsia="en-GB"/>
              </w:rPr>
              <w:t>FNBE</w:t>
            </w:r>
            <w:r w:rsidR="00DA6D66" w:rsidRPr="00560E79">
              <w:rPr>
                <w:color w:val="0070C0"/>
                <w:sz w:val="20"/>
                <w:szCs w:val="20"/>
                <w:lang w:val="en-US"/>
              </w:rPr>
              <w:t xml:space="preserve">: </w:t>
            </w:r>
            <w:r w:rsidR="00560E79" w:rsidRPr="00560E79">
              <w:rPr>
                <w:color w:val="0070C0"/>
                <w:sz w:val="20"/>
                <w:szCs w:val="20"/>
                <w:lang w:val="en-US"/>
              </w:rPr>
              <w:t xml:space="preserve">3-4 </w:t>
            </w:r>
            <w:r w:rsidR="00DA6D66" w:rsidRPr="00560E79">
              <w:rPr>
                <w:color w:val="0070C0"/>
                <w:sz w:val="20"/>
                <w:szCs w:val="20"/>
                <w:lang w:val="en-US"/>
              </w:rPr>
              <w:t xml:space="preserve">senior level researchers. In other organizations, such as Statistics Finland </w:t>
            </w:r>
            <w:r w:rsidR="00560E79" w:rsidRPr="00560E79">
              <w:rPr>
                <w:color w:val="0070C0"/>
                <w:sz w:val="20"/>
                <w:szCs w:val="20"/>
                <w:lang w:val="en-US"/>
              </w:rPr>
              <w:t>one</w:t>
            </w:r>
            <w:r w:rsidR="00DA6D66" w:rsidRPr="00560E79">
              <w:rPr>
                <w:color w:val="0070C0"/>
                <w:sz w:val="20"/>
                <w:szCs w:val="20"/>
                <w:lang w:val="en-US"/>
              </w:rPr>
              <w:t xml:space="preserve"> senior level researchers, part time. In regional councils, primary health care units in hospital districts and hospital districts within a catchment area for highly speciali</w:t>
            </w:r>
            <w:r w:rsidR="007C164E" w:rsidRPr="00560E79">
              <w:rPr>
                <w:color w:val="0070C0"/>
                <w:sz w:val="20"/>
                <w:szCs w:val="20"/>
                <w:lang w:val="en-US"/>
              </w:rPr>
              <w:t>z</w:t>
            </w:r>
            <w:r w:rsidR="00DA6D66" w:rsidRPr="00560E79">
              <w:rPr>
                <w:color w:val="0070C0"/>
                <w:sz w:val="20"/>
                <w:szCs w:val="20"/>
                <w:lang w:val="en-US"/>
              </w:rPr>
              <w:t>ed medical care: a few people involved p</w:t>
            </w:r>
            <w:r w:rsidR="007C164E" w:rsidRPr="00560E79">
              <w:rPr>
                <w:color w:val="0070C0"/>
                <w:sz w:val="20"/>
                <w:szCs w:val="20"/>
                <w:lang w:val="en-US"/>
              </w:rPr>
              <w:t>a</w:t>
            </w:r>
            <w:r w:rsidR="00DA6D66" w:rsidRPr="00560E79">
              <w:rPr>
                <w:color w:val="0070C0"/>
                <w:sz w:val="20"/>
                <w:szCs w:val="20"/>
                <w:lang w:val="en-US"/>
              </w:rPr>
              <w:t>rt time</w:t>
            </w:r>
            <w:r w:rsidR="00560E79" w:rsidRPr="00560E79">
              <w:rPr>
                <w:color w:val="0070C0"/>
                <w:sz w:val="20"/>
                <w:szCs w:val="20"/>
                <w:lang w:val="en-US"/>
              </w:rPr>
              <w:t xml:space="preserve"> at each</w:t>
            </w:r>
            <w:r w:rsidR="00DA6D66" w:rsidRPr="00560E79">
              <w:rPr>
                <w:color w:val="0070C0"/>
                <w:sz w:val="20"/>
                <w:szCs w:val="20"/>
                <w:lang w:val="en-US"/>
              </w:rPr>
              <w:t>.</w:t>
            </w:r>
          </w:p>
        </w:tc>
        <w:tc>
          <w:tcPr>
            <w:tcW w:w="4614" w:type="dxa"/>
          </w:tcPr>
          <w:p w:rsidR="00130DEA" w:rsidRDefault="00130DEA" w:rsidP="007F6F1F">
            <w:pPr>
              <w:rPr>
                <w:lang w:val="en-US"/>
              </w:rPr>
            </w:pPr>
          </w:p>
        </w:tc>
      </w:tr>
      <w:tr w:rsidR="00130DEA" w:rsidRPr="009A23DD" w:rsidTr="00EE0144">
        <w:tc>
          <w:tcPr>
            <w:tcW w:w="2964" w:type="dxa"/>
          </w:tcPr>
          <w:p w:rsidR="00560E79" w:rsidRPr="009A23DD" w:rsidRDefault="00AB23B4" w:rsidP="00130DEA">
            <w:pPr>
              <w:rPr>
                <w:lang w:val="en-US"/>
              </w:rPr>
            </w:pPr>
            <w:r w:rsidRPr="009A23DD">
              <w:rPr>
                <w:lang w:val="en-US"/>
              </w:rPr>
              <w:br w:type="page"/>
            </w:r>
          </w:p>
          <w:p w:rsidR="00130DEA" w:rsidRPr="00DD5C39" w:rsidRDefault="00130DEA" w:rsidP="00130DEA">
            <w:pPr>
              <w:rPr>
                <w:sz w:val="20"/>
                <w:szCs w:val="20"/>
                <w:lang w:val="en-US"/>
              </w:rPr>
            </w:pPr>
            <w:r w:rsidRPr="00DD5C39">
              <w:rPr>
                <w:sz w:val="20"/>
                <w:szCs w:val="20"/>
                <w:u w:val="single"/>
                <w:lang w:val="en-US"/>
              </w:rPr>
              <w:t>Specialization of the staff members</w:t>
            </w:r>
            <w:r w:rsidRPr="00DD5C39">
              <w:rPr>
                <w:sz w:val="20"/>
                <w:szCs w:val="20"/>
                <w:lang w:val="en-US"/>
              </w:rPr>
              <w:t>.</w:t>
            </w:r>
          </w:p>
          <w:p w:rsidR="00130DEA" w:rsidRPr="00DD5C39" w:rsidRDefault="00130DEA" w:rsidP="00130DEA">
            <w:pPr>
              <w:rPr>
                <w:sz w:val="20"/>
                <w:szCs w:val="20"/>
                <w:lang w:val="en-US"/>
              </w:rPr>
            </w:pPr>
          </w:p>
          <w:p w:rsidR="00130DEA" w:rsidRPr="00DD5C39" w:rsidRDefault="00130DEA" w:rsidP="00EE1E9B">
            <w:pPr>
              <w:pStyle w:val="Paragrafoelenco"/>
              <w:numPr>
                <w:ilvl w:val="0"/>
                <w:numId w:val="34"/>
              </w:numPr>
              <w:spacing w:line="240" w:lineRule="auto"/>
              <w:jc w:val="left"/>
              <w:rPr>
                <w:sz w:val="20"/>
                <w:szCs w:val="20"/>
                <w:lang w:val="en-US"/>
              </w:rPr>
            </w:pPr>
            <w:r w:rsidRPr="00DD5C39">
              <w:rPr>
                <w:sz w:val="20"/>
                <w:szCs w:val="20"/>
                <w:lang w:val="en-US"/>
              </w:rPr>
              <w:t>Staff members specialized for single professions.</w:t>
            </w:r>
          </w:p>
          <w:p w:rsidR="00130DEA" w:rsidRPr="0022381C" w:rsidRDefault="00130DEA" w:rsidP="00EE1E9B">
            <w:pPr>
              <w:pStyle w:val="Paragrafoelenco"/>
              <w:numPr>
                <w:ilvl w:val="0"/>
                <w:numId w:val="34"/>
              </w:numPr>
              <w:spacing w:line="240" w:lineRule="auto"/>
              <w:jc w:val="left"/>
              <w:rPr>
                <w:lang w:val="en-US"/>
              </w:rPr>
            </w:pPr>
            <w:r w:rsidRPr="00DD5C39">
              <w:rPr>
                <w:sz w:val="20"/>
                <w:szCs w:val="20"/>
                <w:lang w:val="en-US"/>
              </w:rPr>
              <w:t>Staff members</w:t>
            </w:r>
            <w:r w:rsidRPr="0022381C">
              <w:rPr>
                <w:lang w:val="en-US"/>
              </w:rPr>
              <w:t xml:space="preserve"> competent for all professions.</w:t>
            </w:r>
          </w:p>
          <w:p w:rsidR="00130DEA" w:rsidRPr="006711DA" w:rsidRDefault="00130DEA" w:rsidP="006711DA">
            <w:pPr>
              <w:rPr>
                <w:u w:val="single"/>
                <w:lang w:val="en-US"/>
              </w:rPr>
            </w:pPr>
          </w:p>
        </w:tc>
        <w:tc>
          <w:tcPr>
            <w:tcW w:w="6925" w:type="dxa"/>
          </w:tcPr>
          <w:p w:rsidR="00560E79" w:rsidRDefault="00560E79" w:rsidP="00DA6D66">
            <w:pPr>
              <w:rPr>
                <w:color w:val="0070C0"/>
                <w:sz w:val="20"/>
                <w:szCs w:val="20"/>
                <w:lang w:val="en-US"/>
              </w:rPr>
            </w:pPr>
          </w:p>
          <w:p w:rsidR="00130DEA" w:rsidRPr="00560E79" w:rsidRDefault="00DA6D66" w:rsidP="00DA6D66">
            <w:pPr>
              <w:rPr>
                <w:color w:val="0070C0"/>
                <w:sz w:val="20"/>
                <w:szCs w:val="20"/>
                <w:lang w:val="en-US"/>
              </w:rPr>
            </w:pPr>
            <w:r w:rsidRPr="00560E79">
              <w:rPr>
                <w:color w:val="0070C0"/>
                <w:sz w:val="20"/>
                <w:szCs w:val="20"/>
                <w:lang w:val="en-US"/>
              </w:rPr>
              <w:t>Most of the experts involved are not specialized for single professions.</w:t>
            </w:r>
          </w:p>
        </w:tc>
        <w:tc>
          <w:tcPr>
            <w:tcW w:w="4614" w:type="dxa"/>
          </w:tcPr>
          <w:p w:rsidR="00130DEA" w:rsidRDefault="00130DEA">
            <w:pPr>
              <w:rPr>
                <w:lang w:val="en-US"/>
              </w:rPr>
            </w:pPr>
          </w:p>
        </w:tc>
      </w:tr>
      <w:tr w:rsidR="006711DA" w:rsidRPr="009A23DD" w:rsidTr="00EE0144">
        <w:tc>
          <w:tcPr>
            <w:tcW w:w="2964" w:type="dxa"/>
          </w:tcPr>
          <w:p w:rsidR="006711DA" w:rsidRPr="00DD5C39" w:rsidRDefault="006711DA" w:rsidP="006711DA">
            <w:pPr>
              <w:rPr>
                <w:sz w:val="20"/>
                <w:szCs w:val="20"/>
                <w:lang w:val="en-US"/>
              </w:rPr>
            </w:pPr>
            <w:r w:rsidRPr="00DD5C39">
              <w:rPr>
                <w:sz w:val="20"/>
                <w:szCs w:val="20"/>
                <w:u w:val="single"/>
                <w:lang w:val="en-US"/>
              </w:rPr>
              <w:lastRenderedPageBreak/>
              <w:t>Organization of the workflow</w:t>
            </w:r>
            <w:r w:rsidRPr="00DD5C39">
              <w:rPr>
                <w:sz w:val="20"/>
                <w:szCs w:val="20"/>
                <w:lang w:val="en-US"/>
              </w:rPr>
              <w:t>.</w:t>
            </w:r>
          </w:p>
          <w:p w:rsidR="006711DA" w:rsidRPr="00DD5C39" w:rsidRDefault="006711DA" w:rsidP="006711DA">
            <w:pPr>
              <w:rPr>
                <w:sz w:val="20"/>
                <w:szCs w:val="20"/>
                <w:lang w:val="en-US"/>
              </w:rPr>
            </w:pPr>
          </w:p>
          <w:p w:rsidR="006711DA" w:rsidRPr="00DD5C39" w:rsidRDefault="006711DA" w:rsidP="006711DA">
            <w:pPr>
              <w:pStyle w:val="Paragrafoelenco"/>
              <w:numPr>
                <w:ilvl w:val="0"/>
                <w:numId w:val="4"/>
              </w:numPr>
              <w:spacing w:line="240" w:lineRule="auto"/>
              <w:jc w:val="left"/>
              <w:rPr>
                <w:sz w:val="20"/>
                <w:szCs w:val="20"/>
                <w:lang w:val="en-US"/>
              </w:rPr>
            </w:pPr>
            <w:r w:rsidRPr="00DD5C39">
              <w:rPr>
                <w:sz w:val="20"/>
                <w:szCs w:val="20"/>
                <w:lang w:val="en-US"/>
              </w:rPr>
              <w:t>Different workflow for each professions managed by different planning institutions.</w:t>
            </w:r>
          </w:p>
          <w:p w:rsidR="006711DA" w:rsidRPr="00DD5C39" w:rsidRDefault="006711DA" w:rsidP="006711DA">
            <w:pPr>
              <w:pStyle w:val="Paragrafoelenco"/>
              <w:numPr>
                <w:ilvl w:val="0"/>
                <w:numId w:val="4"/>
              </w:numPr>
              <w:spacing w:line="240" w:lineRule="auto"/>
              <w:jc w:val="left"/>
              <w:rPr>
                <w:sz w:val="20"/>
                <w:szCs w:val="20"/>
                <w:lang w:val="en-US"/>
              </w:rPr>
            </w:pPr>
            <w:r w:rsidRPr="00DD5C39">
              <w:rPr>
                <w:sz w:val="20"/>
                <w:szCs w:val="20"/>
                <w:lang w:val="en-US"/>
              </w:rPr>
              <w:t>Same workflow with some specific articulation for the different professions managed by the same planning institutions.</w:t>
            </w:r>
          </w:p>
          <w:p w:rsidR="006711DA" w:rsidRPr="00DD5C39" w:rsidRDefault="006711DA" w:rsidP="006711DA">
            <w:pPr>
              <w:pStyle w:val="Paragrafoelenco"/>
              <w:numPr>
                <w:ilvl w:val="0"/>
                <w:numId w:val="4"/>
              </w:numPr>
              <w:spacing w:line="240" w:lineRule="auto"/>
              <w:jc w:val="left"/>
              <w:rPr>
                <w:sz w:val="20"/>
                <w:szCs w:val="20"/>
                <w:lang w:val="en-US"/>
              </w:rPr>
            </w:pPr>
            <w:r w:rsidRPr="00DD5C39">
              <w:rPr>
                <w:sz w:val="20"/>
                <w:szCs w:val="20"/>
                <w:lang w:val="en-US"/>
              </w:rPr>
              <w:t>Unique workflow with no specific procedures for the different professions managed by the planning institutions.</w:t>
            </w:r>
          </w:p>
          <w:p w:rsidR="006711DA" w:rsidRPr="00DD5C39" w:rsidRDefault="006711DA" w:rsidP="006711DA">
            <w:pPr>
              <w:rPr>
                <w:sz w:val="20"/>
                <w:szCs w:val="20"/>
                <w:lang w:val="en-US"/>
              </w:rPr>
            </w:pPr>
          </w:p>
        </w:tc>
        <w:tc>
          <w:tcPr>
            <w:tcW w:w="6925" w:type="dxa"/>
          </w:tcPr>
          <w:p w:rsidR="006711DA" w:rsidRPr="00F06A1F" w:rsidRDefault="006711DA">
            <w:pPr>
              <w:rPr>
                <w:sz w:val="20"/>
                <w:szCs w:val="20"/>
                <w:lang w:val="en-US"/>
              </w:rPr>
            </w:pPr>
          </w:p>
          <w:p w:rsidR="00F06A1F" w:rsidRPr="00F06A1F" w:rsidRDefault="00F06A1F" w:rsidP="00F06A1F">
            <w:pPr>
              <w:rPr>
                <w:color w:val="4F81BD" w:themeColor="accent1"/>
                <w:sz w:val="20"/>
                <w:szCs w:val="20"/>
                <w:lang w:val="en-US"/>
              </w:rPr>
            </w:pPr>
            <w:r w:rsidRPr="00F06A1F">
              <w:rPr>
                <w:color w:val="4F81BD" w:themeColor="accent1"/>
                <w:sz w:val="20"/>
                <w:szCs w:val="20"/>
                <w:lang w:val="en-US"/>
              </w:rPr>
              <w:t>At higher level (</w:t>
            </w:r>
            <w:r w:rsidR="00D70F1D">
              <w:rPr>
                <w:color w:val="4F81BD" w:themeColor="accent1"/>
                <w:sz w:val="20"/>
                <w:szCs w:val="20"/>
                <w:lang w:val="en-US"/>
              </w:rPr>
              <w:t>M</w:t>
            </w:r>
            <w:r w:rsidRPr="00F06A1F">
              <w:rPr>
                <w:color w:val="4F81BD" w:themeColor="accent1"/>
                <w:sz w:val="20"/>
                <w:szCs w:val="20"/>
                <w:lang w:val="en-US"/>
              </w:rPr>
              <w:t xml:space="preserve">inistries) </w:t>
            </w:r>
            <w:r>
              <w:rPr>
                <w:color w:val="4F81BD" w:themeColor="accent1"/>
                <w:sz w:val="20"/>
                <w:szCs w:val="20"/>
                <w:lang w:val="en-US"/>
              </w:rPr>
              <w:t>mostly “</w:t>
            </w:r>
            <w:r w:rsidRPr="00F06A1F">
              <w:rPr>
                <w:color w:val="4F81BD" w:themeColor="accent1"/>
                <w:sz w:val="20"/>
                <w:szCs w:val="20"/>
                <w:lang w:val="en-US"/>
              </w:rPr>
              <w:t>Unique workflow with no specific procedures for the different professions managed by the planning institutions</w:t>
            </w:r>
            <w:r>
              <w:rPr>
                <w:color w:val="4F81BD" w:themeColor="accent1"/>
                <w:sz w:val="20"/>
                <w:szCs w:val="20"/>
                <w:lang w:val="en-US"/>
              </w:rPr>
              <w:t xml:space="preserve">” </w:t>
            </w:r>
            <w:r w:rsidRPr="00F06A1F">
              <w:rPr>
                <w:color w:val="4F81BD" w:themeColor="accent1"/>
                <w:sz w:val="20"/>
                <w:szCs w:val="20"/>
                <w:lang w:val="en-US"/>
              </w:rPr>
              <w:t>.</w:t>
            </w:r>
          </w:p>
          <w:p w:rsidR="00F06A1F" w:rsidRPr="00F06A1F" w:rsidRDefault="00F06A1F">
            <w:pPr>
              <w:rPr>
                <w:sz w:val="20"/>
                <w:szCs w:val="20"/>
                <w:lang w:val="en-US"/>
              </w:rPr>
            </w:pPr>
          </w:p>
        </w:tc>
        <w:tc>
          <w:tcPr>
            <w:tcW w:w="4614" w:type="dxa"/>
          </w:tcPr>
          <w:p w:rsidR="006711DA" w:rsidRDefault="006711DA">
            <w:pPr>
              <w:rPr>
                <w:lang w:val="en-US"/>
              </w:rPr>
            </w:pPr>
          </w:p>
        </w:tc>
      </w:tr>
      <w:tr w:rsidR="001371DF" w:rsidRPr="00414A79" w:rsidTr="00EE0144">
        <w:tc>
          <w:tcPr>
            <w:tcW w:w="2964" w:type="dxa"/>
          </w:tcPr>
          <w:p w:rsidR="001371DF" w:rsidRPr="00DD5C39" w:rsidRDefault="001371DF" w:rsidP="001371DF">
            <w:pPr>
              <w:rPr>
                <w:sz w:val="20"/>
                <w:szCs w:val="20"/>
                <w:lang w:val="en-US"/>
              </w:rPr>
            </w:pPr>
            <w:r w:rsidRPr="00DD5C39">
              <w:rPr>
                <w:sz w:val="20"/>
                <w:szCs w:val="20"/>
                <w:u w:val="single"/>
                <w:lang w:val="en-US"/>
              </w:rPr>
              <w:t>Organization of the stakeholders representation</w:t>
            </w:r>
            <w:r w:rsidRPr="00DD5C39">
              <w:rPr>
                <w:sz w:val="20"/>
                <w:szCs w:val="20"/>
                <w:lang w:val="en-US"/>
              </w:rPr>
              <w:t>.</w:t>
            </w:r>
          </w:p>
          <w:p w:rsidR="001371DF" w:rsidRPr="00DD5C39" w:rsidRDefault="001371DF" w:rsidP="001371DF">
            <w:pPr>
              <w:rPr>
                <w:sz w:val="20"/>
                <w:szCs w:val="20"/>
                <w:lang w:val="en-US"/>
              </w:rPr>
            </w:pPr>
          </w:p>
          <w:p w:rsidR="001371DF" w:rsidRPr="00DD5C39" w:rsidRDefault="001371DF" w:rsidP="001371DF">
            <w:pPr>
              <w:rPr>
                <w:sz w:val="20"/>
                <w:szCs w:val="20"/>
                <w:lang w:val="en-US"/>
              </w:rPr>
            </w:pPr>
            <w:r w:rsidRPr="00DD5C39">
              <w:rPr>
                <w:sz w:val="20"/>
                <w:szCs w:val="20"/>
                <w:lang w:val="en-US"/>
              </w:rPr>
              <w:t>Please, describe the involvement in the decision making process of the stakeholders and, if possible, design the chart.</w:t>
            </w:r>
          </w:p>
          <w:p w:rsidR="001371DF" w:rsidRPr="00DD5C39" w:rsidRDefault="001371DF" w:rsidP="001371DF">
            <w:pPr>
              <w:rPr>
                <w:sz w:val="20"/>
                <w:szCs w:val="20"/>
                <w:u w:val="single"/>
                <w:lang w:val="en-US"/>
              </w:rPr>
            </w:pPr>
          </w:p>
        </w:tc>
        <w:tc>
          <w:tcPr>
            <w:tcW w:w="6925" w:type="dxa"/>
          </w:tcPr>
          <w:p w:rsidR="00F06A1F" w:rsidRPr="00560E79" w:rsidRDefault="00F06A1F" w:rsidP="001D1C1B">
            <w:pPr>
              <w:pStyle w:val="Default"/>
              <w:rPr>
                <w:rFonts w:asciiTheme="minorHAnsi" w:hAnsiTheme="minorHAnsi" w:cstheme="minorHAnsi"/>
                <w:sz w:val="20"/>
                <w:szCs w:val="20"/>
                <w:lang w:val="en-US"/>
              </w:rPr>
            </w:pPr>
          </w:p>
          <w:p w:rsidR="00F06A1F" w:rsidRPr="00560E79" w:rsidRDefault="001D1C1B" w:rsidP="001D1C1B">
            <w:pPr>
              <w:pStyle w:val="Default"/>
              <w:rPr>
                <w:rFonts w:asciiTheme="minorHAnsi" w:hAnsiTheme="minorHAnsi" w:cstheme="minorHAnsi"/>
                <w:sz w:val="20"/>
                <w:szCs w:val="20"/>
                <w:lang w:val="en-US"/>
              </w:rPr>
            </w:pPr>
            <w:r w:rsidRPr="00560E79">
              <w:rPr>
                <w:rFonts w:asciiTheme="minorHAnsi" w:hAnsiTheme="minorHAnsi" w:cstheme="minorHAnsi"/>
                <w:sz w:val="20"/>
                <w:szCs w:val="20"/>
                <w:lang w:val="en-US"/>
              </w:rPr>
              <w:t xml:space="preserve">Firstly, workforce forecasts are produced by the </w:t>
            </w:r>
            <w:r w:rsidR="00472B49">
              <w:rPr>
                <w:rFonts w:asciiTheme="minorHAnsi" w:hAnsiTheme="minorHAnsi" w:cstheme="minorHAnsi"/>
                <w:sz w:val="20"/>
                <w:szCs w:val="20"/>
                <w:lang w:val="en-US"/>
              </w:rPr>
              <w:t>VATT</w:t>
            </w:r>
            <w:r w:rsidRPr="00560E79">
              <w:rPr>
                <w:rFonts w:asciiTheme="minorHAnsi" w:hAnsiTheme="minorHAnsi" w:cstheme="minorHAnsi"/>
                <w:sz w:val="20"/>
                <w:szCs w:val="20"/>
                <w:lang w:val="en-US"/>
              </w:rPr>
              <w:t xml:space="preserve"> and commissioned by a collaborative group of four ministries (Employment and Economy, Finance, Education and Culture, Social Affairs and Health). </w:t>
            </w:r>
          </w:p>
          <w:p w:rsidR="00F06A1F" w:rsidRPr="00560E79" w:rsidRDefault="00F06A1F" w:rsidP="001D1C1B">
            <w:pPr>
              <w:pStyle w:val="Default"/>
              <w:rPr>
                <w:rFonts w:asciiTheme="minorHAnsi" w:hAnsiTheme="minorHAnsi" w:cstheme="minorHAnsi"/>
                <w:sz w:val="20"/>
                <w:szCs w:val="20"/>
                <w:lang w:val="en-US"/>
              </w:rPr>
            </w:pPr>
          </w:p>
          <w:p w:rsidR="00F06A1F" w:rsidRPr="00560E79" w:rsidRDefault="001D1C1B" w:rsidP="001D1C1B">
            <w:pPr>
              <w:pStyle w:val="Default"/>
              <w:rPr>
                <w:rFonts w:asciiTheme="minorHAnsi" w:hAnsiTheme="minorHAnsi" w:cstheme="minorHAnsi"/>
                <w:sz w:val="20"/>
                <w:szCs w:val="20"/>
                <w:lang w:val="en-US"/>
              </w:rPr>
            </w:pPr>
            <w:r w:rsidRPr="00560E79">
              <w:rPr>
                <w:rFonts w:asciiTheme="minorHAnsi" w:hAnsiTheme="minorHAnsi" w:cstheme="minorHAnsi"/>
                <w:sz w:val="20"/>
                <w:szCs w:val="20"/>
                <w:lang w:val="en-US"/>
              </w:rPr>
              <w:t xml:space="preserve">These feed in to the planning process in the </w:t>
            </w:r>
            <w:proofErr w:type="spellStart"/>
            <w:r w:rsidRPr="00560E79">
              <w:rPr>
                <w:rFonts w:asciiTheme="minorHAnsi" w:hAnsiTheme="minorHAnsi" w:cstheme="minorHAnsi"/>
                <w:sz w:val="20"/>
                <w:szCs w:val="20"/>
                <w:lang w:val="en-US"/>
              </w:rPr>
              <w:t>the</w:t>
            </w:r>
            <w:proofErr w:type="spellEnd"/>
            <w:r w:rsidRPr="00560E79">
              <w:rPr>
                <w:rFonts w:asciiTheme="minorHAnsi" w:hAnsiTheme="minorHAnsi" w:cstheme="minorHAnsi"/>
                <w:sz w:val="20"/>
                <w:szCs w:val="20"/>
                <w:lang w:val="en-US"/>
              </w:rPr>
              <w:t xml:space="preserve"> </w:t>
            </w:r>
            <w:r w:rsidR="00627AB2">
              <w:rPr>
                <w:rFonts w:asciiTheme="minorHAnsi" w:hAnsiTheme="minorHAnsi" w:cstheme="minorHAnsi"/>
                <w:sz w:val="20"/>
                <w:szCs w:val="20"/>
                <w:lang w:val="en-US"/>
              </w:rPr>
              <w:t>FNBE</w:t>
            </w:r>
            <w:r w:rsidRPr="00560E79">
              <w:rPr>
                <w:rFonts w:asciiTheme="minorHAnsi" w:hAnsiTheme="minorHAnsi" w:cstheme="minorHAnsi"/>
                <w:sz w:val="20"/>
                <w:szCs w:val="20"/>
                <w:lang w:val="en-US"/>
              </w:rPr>
              <w:t xml:space="preserve">. In collaboration with a wide network of experts from the regional authorities, trade unions, employers' associations ministerial representatives etc. it produces workforce forecasts for the whole economy (28 different sectors). </w:t>
            </w:r>
          </w:p>
          <w:p w:rsidR="00F06A1F" w:rsidRPr="00560E79" w:rsidRDefault="00F06A1F" w:rsidP="001D1C1B">
            <w:pPr>
              <w:pStyle w:val="Default"/>
              <w:rPr>
                <w:rFonts w:asciiTheme="minorHAnsi" w:hAnsiTheme="minorHAnsi" w:cstheme="minorHAnsi"/>
                <w:sz w:val="20"/>
                <w:szCs w:val="20"/>
                <w:lang w:val="en-US"/>
              </w:rPr>
            </w:pPr>
          </w:p>
          <w:p w:rsidR="001D1C1B" w:rsidRPr="00560E79" w:rsidRDefault="001D1C1B" w:rsidP="001D1C1B">
            <w:pPr>
              <w:pStyle w:val="Default"/>
              <w:rPr>
                <w:rFonts w:asciiTheme="minorHAnsi" w:hAnsiTheme="minorHAnsi" w:cstheme="minorHAnsi"/>
                <w:sz w:val="20"/>
                <w:szCs w:val="20"/>
                <w:lang w:val="en-US"/>
              </w:rPr>
            </w:pPr>
            <w:r w:rsidRPr="00560E79">
              <w:rPr>
                <w:rFonts w:asciiTheme="minorHAnsi" w:hAnsiTheme="minorHAnsi" w:cstheme="minorHAnsi"/>
                <w:sz w:val="20"/>
                <w:szCs w:val="20"/>
                <w:lang w:val="en-US"/>
              </w:rPr>
              <w:t>These recommendations feed into "The Development Plan of Education and Research"; based on this development plan the Government adopts a plan for the education and university research every four years</w:t>
            </w:r>
            <w:r w:rsidRPr="00560E79">
              <w:rPr>
                <w:rFonts w:asciiTheme="minorHAnsi" w:hAnsiTheme="minorHAnsi" w:cstheme="minorHAnsi"/>
                <w:color w:val="0070C0"/>
                <w:sz w:val="20"/>
                <w:szCs w:val="20"/>
                <w:lang w:val="en-US"/>
              </w:rPr>
              <w:t>.</w:t>
            </w:r>
            <w:r w:rsidR="00240179" w:rsidRPr="00560E79">
              <w:rPr>
                <w:rFonts w:asciiTheme="minorHAnsi" w:hAnsiTheme="minorHAnsi" w:cstheme="minorHAnsi"/>
                <w:color w:val="0070C0"/>
                <w:sz w:val="20"/>
                <w:szCs w:val="20"/>
                <w:lang w:val="en-US"/>
              </w:rPr>
              <w:t>As part of this plan, the Government adopts e</w:t>
            </w:r>
            <w:r w:rsidR="00240179" w:rsidRPr="009A23DD">
              <w:rPr>
                <w:rFonts w:asciiTheme="minorHAnsi" w:hAnsiTheme="minorHAnsi" w:cstheme="minorHAnsi"/>
                <w:color w:val="0070C0"/>
                <w:sz w:val="20"/>
                <w:szCs w:val="20"/>
                <w:lang w:val="en-US" w:eastAsia="en-GB"/>
              </w:rPr>
              <w:t>ntrant targets for every educational field and level</w:t>
            </w:r>
            <w:r w:rsidR="00240179" w:rsidRPr="009A23DD">
              <w:rPr>
                <w:rFonts w:asciiTheme="minorHAnsi" w:hAnsiTheme="minorHAnsi" w:cstheme="minorHAnsi"/>
                <w:sz w:val="20"/>
                <w:szCs w:val="20"/>
                <w:highlight w:val="yellow"/>
                <w:lang w:val="en-US" w:eastAsia="en-GB"/>
              </w:rPr>
              <w:t>.</w:t>
            </w:r>
            <w:r w:rsidRPr="00560E79">
              <w:rPr>
                <w:rFonts w:asciiTheme="minorHAnsi" w:hAnsiTheme="minorHAnsi" w:cstheme="minorHAnsi"/>
                <w:sz w:val="20"/>
                <w:szCs w:val="20"/>
                <w:lang w:val="en-US"/>
              </w:rPr>
              <w:t>(Source: Matrix’s Feasibility Study).</w:t>
            </w:r>
          </w:p>
          <w:p w:rsidR="00F06A1F" w:rsidRPr="00560E79" w:rsidRDefault="00F06A1F" w:rsidP="001D1C1B">
            <w:pPr>
              <w:pStyle w:val="Default"/>
              <w:rPr>
                <w:rFonts w:asciiTheme="minorHAnsi" w:hAnsiTheme="minorHAnsi" w:cstheme="minorHAnsi"/>
                <w:sz w:val="20"/>
                <w:szCs w:val="20"/>
                <w:lang w:val="en-US"/>
              </w:rPr>
            </w:pPr>
          </w:p>
          <w:p w:rsidR="00240179" w:rsidRPr="00560E79" w:rsidRDefault="00240179" w:rsidP="001D1C1B">
            <w:pPr>
              <w:pStyle w:val="Default"/>
              <w:rPr>
                <w:rFonts w:asciiTheme="minorHAnsi" w:hAnsiTheme="minorHAnsi" w:cstheme="minorHAnsi"/>
                <w:color w:val="0070C0"/>
                <w:sz w:val="20"/>
                <w:szCs w:val="20"/>
                <w:lang w:val="en-US"/>
              </w:rPr>
            </w:pPr>
            <w:r w:rsidRPr="009A23DD">
              <w:rPr>
                <w:rFonts w:asciiTheme="minorHAnsi" w:hAnsiTheme="minorHAnsi" w:cstheme="minorHAnsi"/>
                <w:color w:val="0070C0"/>
                <w:sz w:val="20"/>
                <w:szCs w:val="20"/>
                <w:lang w:val="en-US" w:eastAsia="en-GB"/>
              </w:rPr>
              <w:t xml:space="preserve">The </w:t>
            </w:r>
            <w:proofErr w:type="spellStart"/>
            <w:r w:rsidRPr="009A23DD">
              <w:rPr>
                <w:rFonts w:asciiTheme="minorHAnsi" w:hAnsiTheme="minorHAnsi" w:cstheme="minorHAnsi"/>
                <w:color w:val="0070C0"/>
                <w:sz w:val="20"/>
                <w:szCs w:val="20"/>
                <w:lang w:val="en-US" w:eastAsia="en-GB"/>
              </w:rPr>
              <w:t>M</w:t>
            </w:r>
            <w:r w:rsidR="00560E79" w:rsidRPr="009A23DD">
              <w:rPr>
                <w:rFonts w:asciiTheme="minorHAnsi" w:hAnsiTheme="minorHAnsi" w:cstheme="minorHAnsi"/>
                <w:color w:val="0070C0"/>
                <w:sz w:val="20"/>
                <w:szCs w:val="20"/>
                <w:lang w:val="en-US" w:eastAsia="en-GB"/>
              </w:rPr>
              <w:t>oEC</w:t>
            </w:r>
            <w:proofErr w:type="spellEnd"/>
            <w:r w:rsidRPr="009A23DD">
              <w:rPr>
                <w:rFonts w:asciiTheme="minorHAnsi" w:hAnsiTheme="minorHAnsi" w:cstheme="minorHAnsi"/>
                <w:color w:val="0070C0"/>
                <w:sz w:val="20"/>
                <w:szCs w:val="20"/>
                <w:lang w:val="en-US" w:eastAsia="en-GB"/>
              </w:rPr>
              <w:t xml:space="preserve"> appoints a wide group of experts to steer and provide </w:t>
            </w:r>
            <w:proofErr w:type="spellStart"/>
            <w:r w:rsidRPr="009A23DD">
              <w:rPr>
                <w:rFonts w:asciiTheme="minorHAnsi" w:hAnsiTheme="minorHAnsi" w:cstheme="minorHAnsi"/>
                <w:color w:val="0070C0"/>
                <w:sz w:val="20"/>
                <w:szCs w:val="20"/>
                <w:lang w:val="en-US" w:eastAsia="en-GB"/>
              </w:rPr>
              <w:t>expertice</w:t>
            </w:r>
            <w:proofErr w:type="spellEnd"/>
            <w:r w:rsidRPr="009A23DD">
              <w:rPr>
                <w:rFonts w:asciiTheme="minorHAnsi" w:hAnsiTheme="minorHAnsi" w:cstheme="minorHAnsi"/>
                <w:color w:val="0070C0"/>
                <w:sz w:val="20"/>
                <w:szCs w:val="20"/>
                <w:lang w:val="en-US" w:eastAsia="en-GB"/>
              </w:rPr>
              <w:t xml:space="preserve"> of different industries for the phase of forecasting educational needs.  These experts present e.g. the Mo </w:t>
            </w:r>
            <w:proofErr w:type="spellStart"/>
            <w:r w:rsidRPr="009A23DD">
              <w:rPr>
                <w:rFonts w:asciiTheme="minorHAnsi" w:hAnsiTheme="minorHAnsi" w:cstheme="minorHAnsi"/>
                <w:color w:val="0070C0"/>
                <w:sz w:val="20"/>
                <w:szCs w:val="20"/>
                <w:lang w:val="en-US" w:eastAsia="en-GB"/>
              </w:rPr>
              <w:t>SocAH</w:t>
            </w:r>
            <w:proofErr w:type="spellEnd"/>
            <w:r w:rsidRPr="009A23DD">
              <w:rPr>
                <w:rFonts w:asciiTheme="minorHAnsi" w:hAnsiTheme="minorHAnsi" w:cstheme="minorHAnsi"/>
                <w:color w:val="0070C0"/>
                <w:sz w:val="20"/>
                <w:szCs w:val="20"/>
                <w:lang w:val="en-US" w:eastAsia="en-GB"/>
              </w:rPr>
              <w:t xml:space="preserve">, the </w:t>
            </w:r>
            <w:r w:rsidR="00BB7041" w:rsidRPr="009A23DD">
              <w:rPr>
                <w:rFonts w:asciiTheme="minorHAnsi" w:hAnsiTheme="minorHAnsi" w:cstheme="minorHAnsi"/>
                <w:color w:val="0070C0"/>
                <w:sz w:val="20"/>
                <w:szCs w:val="20"/>
                <w:lang w:val="en-US" w:eastAsia="en-GB"/>
              </w:rPr>
              <w:t>KT</w:t>
            </w:r>
            <w:r w:rsidRPr="009A23DD">
              <w:rPr>
                <w:rFonts w:asciiTheme="minorHAnsi" w:hAnsiTheme="minorHAnsi" w:cstheme="minorHAnsi"/>
                <w:color w:val="0070C0"/>
                <w:sz w:val="20"/>
                <w:szCs w:val="20"/>
                <w:lang w:val="en-US" w:eastAsia="en-GB"/>
              </w:rPr>
              <w:t xml:space="preserve">, trade unions, regional authorities and other stakeholders.  </w:t>
            </w:r>
            <w:r w:rsidRPr="00560E79">
              <w:rPr>
                <w:rFonts w:asciiTheme="minorHAnsi" w:hAnsiTheme="minorHAnsi" w:cstheme="minorHAnsi"/>
                <w:color w:val="0070C0"/>
                <w:sz w:val="20"/>
                <w:szCs w:val="20"/>
                <w:lang w:eastAsia="en-GB"/>
              </w:rPr>
              <w:t xml:space="preserve">(The </w:t>
            </w:r>
            <w:proofErr w:type="spellStart"/>
            <w:r w:rsidRPr="00560E79">
              <w:rPr>
                <w:rFonts w:asciiTheme="minorHAnsi" w:hAnsiTheme="minorHAnsi" w:cstheme="minorHAnsi"/>
                <w:color w:val="0070C0"/>
                <w:sz w:val="20"/>
                <w:szCs w:val="20"/>
                <w:lang w:eastAsia="en-GB"/>
              </w:rPr>
              <w:t>MoSH</w:t>
            </w:r>
            <w:proofErr w:type="spellEnd"/>
            <w:r w:rsidRPr="00560E79">
              <w:rPr>
                <w:rFonts w:asciiTheme="minorHAnsi" w:hAnsiTheme="minorHAnsi" w:cstheme="minorHAnsi"/>
                <w:color w:val="0070C0"/>
                <w:sz w:val="20"/>
                <w:szCs w:val="20"/>
                <w:lang w:eastAsia="en-GB"/>
              </w:rPr>
              <w:t xml:space="preserve"> </w:t>
            </w:r>
            <w:proofErr w:type="spellStart"/>
            <w:r w:rsidRPr="00560E79">
              <w:rPr>
                <w:rFonts w:asciiTheme="minorHAnsi" w:hAnsiTheme="minorHAnsi" w:cstheme="minorHAnsi"/>
                <w:color w:val="0070C0"/>
                <w:sz w:val="20"/>
                <w:szCs w:val="20"/>
                <w:lang w:eastAsia="en-GB"/>
              </w:rPr>
              <w:t>is</w:t>
            </w:r>
            <w:proofErr w:type="spellEnd"/>
            <w:r w:rsidRPr="00560E79">
              <w:rPr>
                <w:rFonts w:asciiTheme="minorHAnsi" w:hAnsiTheme="minorHAnsi" w:cstheme="minorHAnsi"/>
                <w:color w:val="0070C0"/>
                <w:sz w:val="20"/>
                <w:szCs w:val="20"/>
                <w:lang w:eastAsia="en-GB"/>
              </w:rPr>
              <w:t xml:space="preserve"> </w:t>
            </w:r>
            <w:proofErr w:type="spellStart"/>
            <w:r w:rsidRPr="00560E79">
              <w:rPr>
                <w:rFonts w:asciiTheme="minorHAnsi" w:hAnsiTheme="minorHAnsi" w:cstheme="minorHAnsi"/>
                <w:color w:val="0070C0"/>
                <w:sz w:val="20"/>
                <w:szCs w:val="20"/>
                <w:lang w:eastAsia="en-GB"/>
              </w:rPr>
              <w:t>not</w:t>
            </w:r>
            <w:proofErr w:type="spellEnd"/>
            <w:r w:rsidRPr="00560E79">
              <w:rPr>
                <w:rFonts w:asciiTheme="minorHAnsi" w:hAnsiTheme="minorHAnsi" w:cstheme="minorHAnsi"/>
                <w:color w:val="0070C0"/>
                <w:sz w:val="20"/>
                <w:szCs w:val="20"/>
                <w:lang w:eastAsia="en-GB"/>
              </w:rPr>
              <w:t xml:space="preserve"> coordinating this phase.)</w:t>
            </w:r>
          </w:p>
          <w:p w:rsidR="00F06A1F" w:rsidRPr="00560E79" w:rsidRDefault="00F06A1F" w:rsidP="001D1C1B">
            <w:pPr>
              <w:pStyle w:val="Default"/>
              <w:rPr>
                <w:rFonts w:asciiTheme="minorHAnsi" w:hAnsiTheme="minorHAnsi" w:cstheme="minorHAnsi"/>
                <w:sz w:val="20"/>
                <w:szCs w:val="20"/>
                <w:lang w:val="en-US"/>
              </w:rPr>
            </w:pPr>
          </w:p>
          <w:p w:rsidR="001371DF" w:rsidRPr="00560E79" w:rsidRDefault="001371DF" w:rsidP="00D87855">
            <w:pPr>
              <w:pStyle w:val="Default"/>
              <w:rPr>
                <w:rFonts w:asciiTheme="minorHAnsi" w:hAnsiTheme="minorHAnsi" w:cstheme="minorHAnsi"/>
                <w:sz w:val="20"/>
                <w:szCs w:val="20"/>
                <w:lang w:val="en-US"/>
              </w:rPr>
            </w:pPr>
          </w:p>
        </w:tc>
        <w:tc>
          <w:tcPr>
            <w:tcW w:w="4614" w:type="dxa"/>
          </w:tcPr>
          <w:p w:rsidR="001371DF" w:rsidRDefault="001371DF">
            <w:pPr>
              <w:rPr>
                <w:lang w:val="en-US"/>
              </w:rPr>
            </w:pPr>
          </w:p>
        </w:tc>
      </w:tr>
      <w:tr w:rsidR="001371DF" w:rsidRPr="009A23DD" w:rsidTr="00EE0144">
        <w:tc>
          <w:tcPr>
            <w:tcW w:w="2964" w:type="dxa"/>
          </w:tcPr>
          <w:p w:rsidR="001371DF" w:rsidRPr="00DD5C39" w:rsidRDefault="001371DF" w:rsidP="001371DF">
            <w:pPr>
              <w:rPr>
                <w:sz w:val="20"/>
                <w:szCs w:val="20"/>
                <w:u w:val="single"/>
                <w:lang w:val="en-US"/>
              </w:rPr>
            </w:pPr>
            <w:r w:rsidRPr="00DD5C39">
              <w:rPr>
                <w:sz w:val="20"/>
                <w:szCs w:val="20"/>
                <w:u w:val="single"/>
                <w:lang w:val="en-US"/>
              </w:rPr>
              <w:lastRenderedPageBreak/>
              <w:t>Which are the stakeholders involved?</w:t>
            </w:r>
          </w:p>
          <w:p w:rsidR="001371DF" w:rsidRPr="00DD5C39" w:rsidRDefault="001371DF" w:rsidP="001371DF">
            <w:pPr>
              <w:rPr>
                <w:sz w:val="20"/>
                <w:szCs w:val="20"/>
                <w:lang w:val="en-US"/>
              </w:rPr>
            </w:pPr>
          </w:p>
          <w:p w:rsidR="001371DF" w:rsidRPr="00DD5C39" w:rsidRDefault="001371DF" w:rsidP="001371DF">
            <w:pPr>
              <w:pStyle w:val="Paragrafoelenco"/>
              <w:numPr>
                <w:ilvl w:val="0"/>
                <w:numId w:val="9"/>
              </w:numPr>
              <w:spacing w:line="240" w:lineRule="auto"/>
              <w:jc w:val="left"/>
              <w:rPr>
                <w:sz w:val="20"/>
                <w:szCs w:val="20"/>
                <w:lang w:val="en-US"/>
              </w:rPr>
            </w:pPr>
            <w:r w:rsidRPr="00DD5C39">
              <w:rPr>
                <w:sz w:val="20"/>
                <w:szCs w:val="20"/>
                <w:lang w:val="en-US"/>
              </w:rPr>
              <w:t>Health care producers (public and private).</w:t>
            </w:r>
          </w:p>
          <w:p w:rsidR="001371DF" w:rsidRPr="00DD5C39" w:rsidRDefault="001371DF" w:rsidP="001371DF">
            <w:pPr>
              <w:pStyle w:val="Paragrafoelenco"/>
              <w:numPr>
                <w:ilvl w:val="0"/>
                <w:numId w:val="9"/>
              </w:numPr>
              <w:spacing w:line="240" w:lineRule="auto"/>
              <w:jc w:val="left"/>
              <w:rPr>
                <w:sz w:val="20"/>
                <w:szCs w:val="20"/>
                <w:lang w:val="en-US"/>
              </w:rPr>
            </w:pPr>
            <w:r w:rsidRPr="00DD5C39">
              <w:rPr>
                <w:sz w:val="20"/>
                <w:szCs w:val="20"/>
                <w:lang w:val="en-US"/>
              </w:rPr>
              <w:t>Health care trainers.</w:t>
            </w:r>
          </w:p>
          <w:p w:rsidR="001371DF" w:rsidRPr="00DD5C39" w:rsidRDefault="001371DF" w:rsidP="001371DF">
            <w:pPr>
              <w:pStyle w:val="Paragrafoelenco"/>
              <w:numPr>
                <w:ilvl w:val="0"/>
                <w:numId w:val="9"/>
              </w:numPr>
              <w:spacing w:line="240" w:lineRule="auto"/>
              <w:jc w:val="left"/>
              <w:rPr>
                <w:sz w:val="20"/>
                <w:szCs w:val="20"/>
                <w:lang w:val="en-US"/>
              </w:rPr>
            </w:pPr>
            <w:r w:rsidRPr="00DD5C39">
              <w:rPr>
                <w:sz w:val="20"/>
                <w:szCs w:val="20"/>
                <w:lang w:val="en-US"/>
              </w:rPr>
              <w:t>Health care payers.</w:t>
            </w:r>
          </w:p>
          <w:p w:rsidR="001371DF" w:rsidRPr="00DD5C39" w:rsidRDefault="001371DF" w:rsidP="001371DF">
            <w:pPr>
              <w:pStyle w:val="Paragrafoelenco"/>
              <w:numPr>
                <w:ilvl w:val="0"/>
                <w:numId w:val="9"/>
              </w:numPr>
              <w:spacing w:line="240" w:lineRule="auto"/>
              <w:jc w:val="left"/>
              <w:rPr>
                <w:sz w:val="20"/>
                <w:szCs w:val="20"/>
                <w:lang w:val="en-US"/>
              </w:rPr>
            </w:pPr>
            <w:r w:rsidRPr="00DD5C39">
              <w:rPr>
                <w:sz w:val="20"/>
                <w:szCs w:val="20"/>
                <w:lang w:val="en-US"/>
              </w:rPr>
              <w:t>Health care workforce (professional orders).</w:t>
            </w:r>
          </w:p>
          <w:p w:rsidR="001371DF" w:rsidRPr="00DD5C39" w:rsidRDefault="001371DF" w:rsidP="001371DF">
            <w:pPr>
              <w:pStyle w:val="Paragrafoelenco"/>
              <w:numPr>
                <w:ilvl w:val="0"/>
                <w:numId w:val="9"/>
              </w:numPr>
              <w:spacing w:line="240" w:lineRule="auto"/>
              <w:jc w:val="left"/>
              <w:rPr>
                <w:sz w:val="20"/>
                <w:szCs w:val="20"/>
                <w:u w:val="single"/>
                <w:lang w:val="en-US"/>
              </w:rPr>
            </w:pPr>
            <w:r w:rsidRPr="00DD5C39">
              <w:rPr>
                <w:sz w:val="20"/>
                <w:szCs w:val="20"/>
                <w:lang w:val="en-US"/>
              </w:rPr>
              <w:t>Health care users.</w:t>
            </w:r>
          </w:p>
          <w:p w:rsidR="005649B5" w:rsidRPr="00DD5C39" w:rsidRDefault="005649B5" w:rsidP="005649B5">
            <w:pPr>
              <w:rPr>
                <w:sz w:val="20"/>
                <w:szCs w:val="20"/>
                <w:u w:val="single"/>
                <w:lang w:val="en-US"/>
              </w:rPr>
            </w:pPr>
          </w:p>
        </w:tc>
        <w:tc>
          <w:tcPr>
            <w:tcW w:w="6925" w:type="dxa"/>
          </w:tcPr>
          <w:p w:rsidR="00D70F1D" w:rsidRPr="00F06A1F" w:rsidRDefault="00D70F1D" w:rsidP="00D70F1D">
            <w:pPr>
              <w:rPr>
                <w:color w:val="4F81BD" w:themeColor="accent1"/>
                <w:sz w:val="20"/>
                <w:szCs w:val="20"/>
                <w:lang w:val="en-US"/>
              </w:rPr>
            </w:pPr>
            <w:proofErr w:type="spellStart"/>
            <w:r>
              <w:rPr>
                <w:color w:val="4F81BD" w:themeColor="accent1"/>
                <w:sz w:val="20"/>
                <w:szCs w:val="20"/>
                <w:lang w:val="en-US"/>
              </w:rPr>
              <w:t>Stakesholders</w:t>
            </w:r>
            <w:proofErr w:type="spellEnd"/>
            <w:r>
              <w:rPr>
                <w:color w:val="4F81BD" w:themeColor="accent1"/>
                <w:sz w:val="20"/>
                <w:szCs w:val="20"/>
                <w:lang w:val="en-US"/>
              </w:rPr>
              <w:t xml:space="preserve"> are from 1.-4. </w:t>
            </w:r>
          </w:p>
          <w:p w:rsidR="00D70F1D" w:rsidRDefault="00D70F1D" w:rsidP="00F06A1F">
            <w:pPr>
              <w:rPr>
                <w:color w:val="4F81BD" w:themeColor="accent1"/>
                <w:sz w:val="20"/>
                <w:szCs w:val="20"/>
                <w:lang w:val="en-US"/>
              </w:rPr>
            </w:pPr>
          </w:p>
          <w:p w:rsidR="00F06A1F" w:rsidRPr="00F06A1F" w:rsidRDefault="00F06A1F" w:rsidP="00F06A1F">
            <w:pPr>
              <w:rPr>
                <w:color w:val="4F81BD" w:themeColor="accent1"/>
                <w:sz w:val="20"/>
                <w:szCs w:val="20"/>
                <w:lang w:val="en-US"/>
              </w:rPr>
            </w:pPr>
            <w:r w:rsidRPr="00F06A1F">
              <w:rPr>
                <w:color w:val="4F81BD" w:themeColor="accent1"/>
                <w:sz w:val="20"/>
                <w:szCs w:val="20"/>
                <w:lang w:val="en-US"/>
              </w:rPr>
              <w:t xml:space="preserve">Health care producers (mainly municipalities through their association Local </w:t>
            </w:r>
            <w:proofErr w:type="spellStart"/>
            <w:r w:rsidRPr="00F06A1F">
              <w:rPr>
                <w:color w:val="4F81BD" w:themeColor="accent1"/>
                <w:sz w:val="20"/>
                <w:szCs w:val="20"/>
                <w:lang w:val="en-US"/>
              </w:rPr>
              <w:t>Govenrment</w:t>
            </w:r>
            <w:proofErr w:type="spellEnd"/>
            <w:r w:rsidRPr="00F06A1F">
              <w:rPr>
                <w:color w:val="4F81BD" w:themeColor="accent1"/>
                <w:sz w:val="20"/>
                <w:szCs w:val="20"/>
                <w:lang w:val="en-US"/>
              </w:rPr>
              <w:t xml:space="preserve"> Employers)</w:t>
            </w:r>
          </w:p>
          <w:p w:rsidR="00F06A1F" w:rsidRDefault="00F06A1F" w:rsidP="00F06A1F">
            <w:pPr>
              <w:rPr>
                <w:color w:val="4F81BD" w:themeColor="accent1"/>
                <w:sz w:val="20"/>
                <w:szCs w:val="20"/>
                <w:lang w:val="en-US"/>
              </w:rPr>
            </w:pPr>
            <w:r w:rsidRPr="00F06A1F">
              <w:rPr>
                <w:color w:val="4F81BD" w:themeColor="accent1"/>
                <w:sz w:val="20"/>
                <w:szCs w:val="20"/>
                <w:lang w:val="en-US"/>
              </w:rPr>
              <w:t>Trainers (institutes,  schools and universities)</w:t>
            </w:r>
          </w:p>
          <w:p w:rsidR="00D70F1D" w:rsidRPr="00F06A1F" w:rsidRDefault="00D70F1D" w:rsidP="00F06A1F">
            <w:pPr>
              <w:rPr>
                <w:color w:val="4F81BD" w:themeColor="accent1"/>
                <w:sz w:val="20"/>
                <w:szCs w:val="20"/>
                <w:lang w:val="en-US"/>
              </w:rPr>
            </w:pPr>
            <w:r>
              <w:rPr>
                <w:color w:val="4F81BD" w:themeColor="accent1"/>
                <w:sz w:val="20"/>
                <w:szCs w:val="20"/>
                <w:lang w:val="en-US"/>
              </w:rPr>
              <w:t>Health care payers</w:t>
            </w:r>
          </w:p>
          <w:p w:rsidR="00F06A1F" w:rsidRDefault="00F06A1F" w:rsidP="00F06A1F">
            <w:pPr>
              <w:rPr>
                <w:color w:val="4F81BD" w:themeColor="accent1"/>
                <w:sz w:val="20"/>
                <w:szCs w:val="20"/>
                <w:lang w:val="en-US"/>
              </w:rPr>
            </w:pPr>
            <w:r w:rsidRPr="00F06A1F">
              <w:rPr>
                <w:color w:val="4F81BD" w:themeColor="accent1"/>
                <w:sz w:val="20"/>
                <w:szCs w:val="20"/>
                <w:lang w:val="en-US"/>
              </w:rPr>
              <w:t>Health care workforce (professional orders as well trade unions</w:t>
            </w:r>
            <w:r w:rsidR="00D70F1D">
              <w:rPr>
                <w:color w:val="4F81BD" w:themeColor="accent1"/>
                <w:sz w:val="20"/>
                <w:szCs w:val="20"/>
                <w:lang w:val="en-US"/>
              </w:rPr>
              <w:t>)</w:t>
            </w:r>
          </w:p>
          <w:p w:rsidR="00560E79" w:rsidRDefault="00560E79" w:rsidP="00F06A1F">
            <w:pPr>
              <w:pStyle w:val="Paragrafoelenco"/>
              <w:spacing w:line="240" w:lineRule="auto"/>
              <w:ind w:left="360"/>
              <w:jc w:val="left"/>
              <w:rPr>
                <w:rFonts w:asciiTheme="minorHAnsi" w:hAnsiTheme="minorHAnsi"/>
                <w:sz w:val="20"/>
                <w:szCs w:val="20"/>
                <w:highlight w:val="yellow"/>
                <w:lang w:val="en-US"/>
              </w:rPr>
            </w:pPr>
          </w:p>
          <w:p w:rsidR="00F06A1F" w:rsidRPr="007C164E" w:rsidRDefault="00F06A1F" w:rsidP="00F06A1F">
            <w:pPr>
              <w:pStyle w:val="Paragrafoelenco"/>
              <w:spacing w:line="240" w:lineRule="auto"/>
              <w:ind w:left="360"/>
              <w:jc w:val="left"/>
              <w:rPr>
                <w:rFonts w:asciiTheme="minorHAnsi" w:hAnsiTheme="minorHAnsi"/>
                <w:sz w:val="20"/>
                <w:szCs w:val="20"/>
                <w:lang w:val="en-US"/>
              </w:rPr>
            </w:pPr>
          </w:p>
        </w:tc>
        <w:tc>
          <w:tcPr>
            <w:tcW w:w="4614" w:type="dxa"/>
          </w:tcPr>
          <w:p w:rsidR="001371DF" w:rsidRDefault="001371DF">
            <w:pPr>
              <w:rPr>
                <w:lang w:val="en-US"/>
              </w:rPr>
            </w:pPr>
          </w:p>
        </w:tc>
      </w:tr>
      <w:tr w:rsidR="001371DF" w:rsidRPr="009A23DD" w:rsidTr="00EE0144">
        <w:tc>
          <w:tcPr>
            <w:tcW w:w="2964" w:type="dxa"/>
          </w:tcPr>
          <w:p w:rsidR="005649B5" w:rsidRPr="00DD5C39" w:rsidRDefault="00AB23B4" w:rsidP="005649B5">
            <w:pPr>
              <w:rPr>
                <w:sz w:val="20"/>
                <w:szCs w:val="20"/>
                <w:u w:val="single"/>
                <w:lang w:val="en-US"/>
              </w:rPr>
            </w:pPr>
            <w:r w:rsidRPr="009A23DD">
              <w:rPr>
                <w:sz w:val="20"/>
                <w:szCs w:val="20"/>
                <w:lang w:val="en-US"/>
              </w:rPr>
              <w:br w:type="page"/>
            </w:r>
            <w:r w:rsidR="005649B5" w:rsidRPr="00DD5C39">
              <w:rPr>
                <w:sz w:val="20"/>
                <w:szCs w:val="20"/>
                <w:u w:val="single"/>
                <w:lang w:val="en-US"/>
              </w:rPr>
              <w:t>Which is the role of the stakeholders?</w:t>
            </w:r>
          </w:p>
          <w:p w:rsidR="005649B5" w:rsidRPr="00DD5C39" w:rsidRDefault="005649B5" w:rsidP="005649B5">
            <w:pPr>
              <w:rPr>
                <w:sz w:val="20"/>
                <w:szCs w:val="20"/>
                <w:lang w:val="en-US"/>
              </w:rPr>
            </w:pPr>
          </w:p>
          <w:p w:rsidR="005649B5" w:rsidRPr="00DD5C39" w:rsidRDefault="005649B5" w:rsidP="005649B5">
            <w:pPr>
              <w:pStyle w:val="Paragrafoelenco"/>
              <w:numPr>
                <w:ilvl w:val="0"/>
                <w:numId w:val="11"/>
              </w:numPr>
              <w:spacing w:line="240" w:lineRule="auto"/>
              <w:jc w:val="left"/>
              <w:rPr>
                <w:sz w:val="20"/>
                <w:szCs w:val="20"/>
                <w:lang w:val="en-US"/>
              </w:rPr>
            </w:pPr>
            <w:r w:rsidRPr="00DD5C39">
              <w:rPr>
                <w:sz w:val="20"/>
                <w:szCs w:val="20"/>
                <w:lang w:val="en-US"/>
              </w:rPr>
              <w:t>Contributing to give advices.</w:t>
            </w:r>
          </w:p>
          <w:p w:rsidR="005649B5" w:rsidRPr="00DD5C39" w:rsidRDefault="005649B5" w:rsidP="005649B5">
            <w:pPr>
              <w:pStyle w:val="Paragrafoelenco"/>
              <w:numPr>
                <w:ilvl w:val="0"/>
                <w:numId w:val="11"/>
              </w:numPr>
              <w:spacing w:line="240" w:lineRule="auto"/>
              <w:jc w:val="left"/>
              <w:rPr>
                <w:sz w:val="20"/>
                <w:szCs w:val="20"/>
                <w:lang w:val="en-US"/>
              </w:rPr>
            </w:pPr>
            <w:r w:rsidRPr="00DD5C39">
              <w:rPr>
                <w:sz w:val="20"/>
                <w:szCs w:val="20"/>
                <w:lang w:val="en-US"/>
              </w:rPr>
              <w:t>Contributing to the take the decisions.</w:t>
            </w:r>
          </w:p>
          <w:p w:rsidR="001371DF" w:rsidRPr="00DD5C39" w:rsidRDefault="001371DF" w:rsidP="005649B5">
            <w:pPr>
              <w:rPr>
                <w:sz w:val="20"/>
                <w:szCs w:val="20"/>
                <w:u w:val="single"/>
                <w:lang w:val="en-US"/>
              </w:rPr>
            </w:pPr>
          </w:p>
        </w:tc>
        <w:tc>
          <w:tcPr>
            <w:tcW w:w="6925" w:type="dxa"/>
          </w:tcPr>
          <w:p w:rsidR="008C75EA" w:rsidRDefault="008C75EA" w:rsidP="008C75EA">
            <w:pPr>
              <w:autoSpaceDE w:val="0"/>
              <w:autoSpaceDN w:val="0"/>
              <w:adjustRightInd w:val="0"/>
              <w:rPr>
                <w:rFonts w:cs="Arial"/>
                <w:sz w:val="20"/>
                <w:szCs w:val="20"/>
                <w:lang w:val="en-US" w:eastAsia="en-GB"/>
              </w:rPr>
            </w:pPr>
            <w:r w:rsidRPr="00F06A1F">
              <w:rPr>
                <w:rFonts w:cs="Arial"/>
                <w:sz w:val="20"/>
                <w:szCs w:val="20"/>
                <w:lang w:val="en-US" w:eastAsia="en-GB"/>
              </w:rPr>
              <w:t xml:space="preserve">Long-term workforce forecasts are produced by the </w:t>
            </w:r>
            <w:r w:rsidR="00472B49">
              <w:rPr>
                <w:rFonts w:cs="Arial"/>
                <w:sz w:val="20"/>
                <w:szCs w:val="20"/>
                <w:lang w:val="en-US" w:eastAsia="en-GB"/>
              </w:rPr>
              <w:t>VATT</w:t>
            </w:r>
            <w:r w:rsidRPr="00F06A1F">
              <w:rPr>
                <w:rFonts w:cs="Arial"/>
                <w:sz w:val="20"/>
                <w:szCs w:val="20"/>
                <w:lang w:val="en-US" w:eastAsia="en-GB"/>
              </w:rPr>
              <w:t xml:space="preserve"> (under the Ministry of Finance) and commissioned by a collaborative group of four ministries. They are </w:t>
            </w:r>
            <w:proofErr w:type="spellStart"/>
            <w:r w:rsidRPr="00F06A1F">
              <w:rPr>
                <w:rFonts w:cs="Arial"/>
                <w:sz w:val="20"/>
                <w:szCs w:val="20"/>
                <w:lang w:val="en-US" w:eastAsia="en-GB"/>
              </w:rPr>
              <w:t>the</w:t>
            </w:r>
            <w:r w:rsidR="00D70F1D">
              <w:rPr>
                <w:rFonts w:cs="Arial"/>
                <w:sz w:val="20"/>
                <w:szCs w:val="20"/>
                <w:lang w:val="en-US" w:eastAsia="en-GB"/>
              </w:rPr>
              <w:t>MoEE</w:t>
            </w:r>
            <w:proofErr w:type="spellEnd"/>
            <w:r w:rsidRPr="00F06A1F">
              <w:rPr>
                <w:rFonts w:cs="Arial"/>
                <w:sz w:val="20"/>
                <w:szCs w:val="20"/>
                <w:lang w:val="en-US" w:eastAsia="en-GB"/>
              </w:rPr>
              <w:t xml:space="preserve">, the Ministry of Finance, the </w:t>
            </w:r>
            <w:proofErr w:type="spellStart"/>
            <w:r w:rsidR="00627AB2">
              <w:rPr>
                <w:rFonts w:cs="Arial"/>
                <w:sz w:val="20"/>
                <w:szCs w:val="20"/>
                <w:lang w:val="en-US" w:eastAsia="en-GB"/>
              </w:rPr>
              <w:t>MoEC</w:t>
            </w:r>
            <w:proofErr w:type="spellEnd"/>
            <w:r w:rsidRPr="00F06A1F">
              <w:rPr>
                <w:rFonts w:cs="Arial"/>
                <w:sz w:val="20"/>
                <w:szCs w:val="20"/>
                <w:lang w:val="en-US" w:eastAsia="en-GB"/>
              </w:rPr>
              <w:t xml:space="preserve"> and the </w:t>
            </w:r>
            <w:proofErr w:type="spellStart"/>
            <w:r w:rsidR="00627AB2">
              <w:rPr>
                <w:rFonts w:cs="Arial"/>
                <w:sz w:val="20"/>
                <w:szCs w:val="20"/>
                <w:lang w:val="en-US" w:eastAsia="en-GB"/>
              </w:rPr>
              <w:t>MoSocH</w:t>
            </w:r>
            <w:proofErr w:type="spellEnd"/>
            <w:r w:rsidRPr="00F06A1F">
              <w:rPr>
                <w:rFonts w:cs="Arial"/>
                <w:sz w:val="20"/>
                <w:szCs w:val="20"/>
                <w:lang w:val="en-US" w:eastAsia="en-GB"/>
              </w:rPr>
              <w:t xml:space="preserve">. </w:t>
            </w:r>
          </w:p>
          <w:p w:rsidR="00F06A1F" w:rsidRPr="00F06A1F" w:rsidRDefault="00F06A1F" w:rsidP="008C75EA">
            <w:pPr>
              <w:autoSpaceDE w:val="0"/>
              <w:autoSpaceDN w:val="0"/>
              <w:adjustRightInd w:val="0"/>
              <w:rPr>
                <w:rFonts w:cs="Arial"/>
                <w:sz w:val="20"/>
                <w:szCs w:val="20"/>
                <w:lang w:val="en-US" w:eastAsia="en-GB"/>
              </w:rPr>
            </w:pPr>
          </w:p>
          <w:p w:rsidR="00F06A1F" w:rsidRDefault="008C75EA" w:rsidP="008C75EA">
            <w:pPr>
              <w:autoSpaceDE w:val="0"/>
              <w:autoSpaceDN w:val="0"/>
              <w:adjustRightInd w:val="0"/>
              <w:rPr>
                <w:rFonts w:cs="Arial"/>
                <w:sz w:val="20"/>
                <w:szCs w:val="20"/>
                <w:lang w:val="en-US" w:eastAsia="en-GB"/>
              </w:rPr>
            </w:pPr>
            <w:r w:rsidRPr="00F06A1F">
              <w:rPr>
                <w:rFonts w:cs="Arial"/>
                <w:sz w:val="20"/>
                <w:szCs w:val="20"/>
                <w:lang w:val="en-US" w:eastAsia="en-GB"/>
              </w:rPr>
              <w:t xml:space="preserve">Forecasts on educational needs and proposals for entrant targets are produced by the </w:t>
            </w:r>
            <w:r w:rsidR="00D70F1D">
              <w:rPr>
                <w:rFonts w:cs="Arial"/>
                <w:sz w:val="20"/>
                <w:szCs w:val="20"/>
                <w:lang w:val="en-US" w:eastAsia="en-GB"/>
              </w:rPr>
              <w:t>FNBE</w:t>
            </w:r>
            <w:r w:rsidRPr="00F06A1F">
              <w:rPr>
                <w:rFonts w:cs="Arial"/>
                <w:sz w:val="20"/>
                <w:szCs w:val="20"/>
                <w:lang w:val="en-US" w:eastAsia="en-GB"/>
              </w:rPr>
              <w:t xml:space="preserve"> on the basis of the forecasts on workforce demand. The </w:t>
            </w:r>
            <w:proofErr w:type="spellStart"/>
            <w:r w:rsidR="00627AB2">
              <w:rPr>
                <w:rFonts w:cs="Arial"/>
                <w:sz w:val="20"/>
                <w:szCs w:val="20"/>
                <w:lang w:val="en-US" w:eastAsia="en-GB"/>
              </w:rPr>
              <w:t>MoEC</w:t>
            </w:r>
            <w:proofErr w:type="spellEnd"/>
            <w:r w:rsidRPr="00F06A1F">
              <w:rPr>
                <w:rFonts w:cs="Arial"/>
                <w:sz w:val="20"/>
                <w:szCs w:val="20"/>
                <w:lang w:val="en-US" w:eastAsia="en-GB"/>
              </w:rPr>
              <w:t xml:space="preserve"> appoints a wide groups of experts to steer and provide experti</w:t>
            </w:r>
            <w:r w:rsidR="00EE0144">
              <w:rPr>
                <w:rFonts w:cs="Arial"/>
                <w:sz w:val="20"/>
                <w:szCs w:val="20"/>
                <w:lang w:val="en-US" w:eastAsia="en-GB"/>
              </w:rPr>
              <w:t>z</w:t>
            </w:r>
            <w:r w:rsidRPr="00F06A1F">
              <w:rPr>
                <w:rFonts w:cs="Arial"/>
                <w:sz w:val="20"/>
                <w:szCs w:val="20"/>
                <w:lang w:val="en-US" w:eastAsia="en-GB"/>
              </w:rPr>
              <w:t xml:space="preserve">e of different industries for the phase of forecasting educational needs.  </w:t>
            </w:r>
          </w:p>
          <w:p w:rsidR="00F06A1F" w:rsidRDefault="00F06A1F" w:rsidP="008C75EA">
            <w:pPr>
              <w:autoSpaceDE w:val="0"/>
              <w:autoSpaceDN w:val="0"/>
              <w:adjustRightInd w:val="0"/>
              <w:rPr>
                <w:rFonts w:cs="Arial"/>
                <w:sz w:val="20"/>
                <w:szCs w:val="20"/>
                <w:lang w:val="en-US" w:eastAsia="en-GB"/>
              </w:rPr>
            </w:pPr>
          </w:p>
          <w:p w:rsidR="008C75EA" w:rsidRDefault="008C75EA" w:rsidP="008C75EA">
            <w:pPr>
              <w:autoSpaceDE w:val="0"/>
              <w:autoSpaceDN w:val="0"/>
              <w:adjustRightInd w:val="0"/>
              <w:rPr>
                <w:rFonts w:cs="Arial"/>
                <w:sz w:val="20"/>
                <w:szCs w:val="20"/>
                <w:lang w:val="en-US" w:eastAsia="en-GB"/>
              </w:rPr>
            </w:pPr>
            <w:r w:rsidRPr="00F06A1F">
              <w:rPr>
                <w:rFonts w:cs="Arial"/>
                <w:sz w:val="20"/>
                <w:szCs w:val="20"/>
                <w:lang w:val="en-US" w:eastAsia="en-GB"/>
              </w:rPr>
              <w:t xml:space="preserve">These experts present e.g. the </w:t>
            </w:r>
            <w:proofErr w:type="spellStart"/>
            <w:r w:rsidR="00627AB2">
              <w:rPr>
                <w:rFonts w:cs="Arial"/>
                <w:sz w:val="20"/>
                <w:szCs w:val="20"/>
                <w:lang w:val="en-US" w:eastAsia="en-GB"/>
              </w:rPr>
              <w:t>MoSocH</w:t>
            </w:r>
            <w:proofErr w:type="spellEnd"/>
            <w:r w:rsidRPr="00F06A1F">
              <w:rPr>
                <w:rFonts w:cs="Arial"/>
                <w:sz w:val="20"/>
                <w:szCs w:val="20"/>
                <w:lang w:val="en-US" w:eastAsia="en-GB"/>
              </w:rPr>
              <w:t xml:space="preserve">, the </w:t>
            </w:r>
            <w:r w:rsidR="00BB7041">
              <w:rPr>
                <w:rFonts w:cs="Arial"/>
                <w:sz w:val="20"/>
                <w:szCs w:val="20"/>
                <w:lang w:val="en-US" w:eastAsia="en-GB"/>
              </w:rPr>
              <w:t>KT</w:t>
            </w:r>
            <w:r w:rsidRPr="00F06A1F">
              <w:rPr>
                <w:rFonts w:cs="Arial"/>
                <w:sz w:val="20"/>
                <w:szCs w:val="20"/>
                <w:lang w:val="en-US" w:eastAsia="en-GB"/>
              </w:rPr>
              <w:t>, trade unions, regional authorities and other stakeholders.  (Source: OECD study)</w:t>
            </w:r>
          </w:p>
          <w:p w:rsidR="00627AB2" w:rsidRPr="00627AB2" w:rsidRDefault="00627AB2" w:rsidP="008C75EA">
            <w:pPr>
              <w:autoSpaceDE w:val="0"/>
              <w:autoSpaceDN w:val="0"/>
              <w:adjustRightInd w:val="0"/>
              <w:rPr>
                <w:rFonts w:cs="Arial"/>
                <w:color w:val="0070C0"/>
                <w:sz w:val="20"/>
                <w:szCs w:val="20"/>
                <w:highlight w:val="yellow"/>
                <w:lang w:val="en-US" w:eastAsia="en-GB"/>
              </w:rPr>
            </w:pPr>
          </w:p>
          <w:p w:rsidR="00FF7BDA" w:rsidRPr="00627AB2" w:rsidRDefault="00FF7BDA" w:rsidP="008C75EA">
            <w:pPr>
              <w:autoSpaceDE w:val="0"/>
              <w:autoSpaceDN w:val="0"/>
              <w:adjustRightInd w:val="0"/>
              <w:rPr>
                <w:rFonts w:cs="Arial"/>
                <w:color w:val="0070C0"/>
                <w:sz w:val="20"/>
                <w:szCs w:val="20"/>
                <w:lang w:val="en-US" w:eastAsia="en-GB"/>
              </w:rPr>
            </w:pPr>
            <w:r w:rsidRPr="00627AB2">
              <w:rPr>
                <w:rFonts w:cs="Arial"/>
                <w:color w:val="0070C0"/>
                <w:sz w:val="20"/>
                <w:szCs w:val="20"/>
                <w:lang w:val="en-US" w:eastAsia="en-GB"/>
              </w:rPr>
              <w:t>Stakeholders provide</w:t>
            </w:r>
            <w:r w:rsidR="007C164E" w:rsidRPr="00627AB2">
              <w:rPr>
                <w:rFonts w:cs="Arial"/>
                <w:color w:val="0070C0"/>
                <w:sz w:val="20"/>
                <w:szCs w:val="20"/>
                <w:lang w:val="en-US" w:eastAsia="en-GB"/>
              </w:rPr>
              <w:t xml:space="preserve"> </w:t>
            </w:r>
            <w:proofErr w:type="spellStart"/>
            <w:r w:rsidRPr="009A23DD">
              <w:rPr>
                <w:rFonts w:cs="Arial"/>
                <w:color w:val="0070C0"/>
                <w:sz w:val="20"/>
                <w:szCs w:val="20"/>
                <w:lang w:val="en-US" w:eastAsia="en-GB"/>
              </w:rPr>
              <w:t>expertice</w:t>
            </w:r>
            <w:proofErr w:type="spellEnd"/>
            <w:r w:rsidRPr="009A23DD">
              <w:rPr>
                <w:rFonts w:cs="Arial"/>
                <w:color w:val="0070C0"/>
                <w:sz w:val="20"/>
                <w:szCs w:val="20"/>
                <w:lang w:val="en-US" w:eastAsia="en-GB"/>
              </w:rPr>
              <w:t xml:space="preserve"> of different industries for the phase of forecasting educational needs through the groups of experts appointed by The </w:t>
            </w:r>
            <w:proofErr w:type="spellStart"/>
            <w:r w:rsidR="00627AB2" w:rsidRPr="009A23DD">
              <w:rPr>
                <w:rFonts w:cs="Arial"/>
                <w:color w:val="0070C0"/>
                <w:sz w:val="20"/>
                <w:szCs w:val="20"/>
                <w:lang w:val="en-US" w:eastAsia="en-GB"/>
              </w:rPr>
              <w:t>MoEC</w:t>
            </w:r>
            <w:proofErr w:type="spellEnd"/>
            <w:r w:rsidRPr="009A23DD">
              <w:rPr>
                <w:rFonts w:cs="Arial"/>
                <w:color w:val="0070C0"/>
                <w:sz w:val="20"/>
                <w:szCs w:val="20"/>
                <w:lang w:val="en-US" w:eastAsia="en-GB"/>
              </w:rPr>
              <w:t xml:space="preserve">.  </w:t>
            </w:r>
          </w:p>
          <w:p w:rsidR="00F06A1F" w:rsidRDefault="00F06A1F" w:rsidP="00F06A1F">
            <w:pPr>
              <w:rPr>
                <w:lang w:val="en-US"/>
              </w:rPr>
            </w:pPr>
          </w:p>
        </w:tc>
        <w:tc>
          <w:tcPr>
            <w:tcW w:w="4614" w:type="dxa"/>
          </w:tcPr>
          <w:p w:rsidR="00EE0144" w:rsidRPr="00EE0144" w:rsidRDefault="00076917" w:rsidP="00EE0144">
            <w:pPr>
              <w:pStyle w:val="Nessunaspaziatura"/>
              <w:rPr>
                <w:rFonts w:cs="Calibri"/>
                <w:sz w:val="20"/>
                <w:szCs w:val="20"/>
              </w:rPr>
            </w:pPr>
            <w:r>
              <w:rPr>
                <w:rFonts w:cs="Calibri"/>
                <w:sz w:val="20"/>
                <w:szCs w:val="20"/>
              </w:rPr>
              <w:fldChar w:fldCharType="begin"/>
            </w:r>
            <w:r w:rsidR="00EE0144">
              <w:rPr>
                <w:rFonts w:cs="Calibri"/>
                <w:sz w:val="20"/>
                <w:szCs w:val="20"/>
              </w:rPr>
              <w:instrText xml:space="preserve"> HYPERLINK "</w:instrText>
            </w:r>
            <w:r w:rsidR="00EE0144" w:rsidRPr="00EE0144">
              <w:rPr>
                <w:rFonts w:cs="Calibri"/>
                <w:sz w:val="20"/>
                <w:szCs w:val="20"/>
              </w:rPr>
              <w:instrText xml:space="preserve">http://www.oph.fi/english/education </w:instrText>
            </w:r>
          </w:p>
          <w:p w:rsidR="00EE0144" w:rsidRDefault="00EE0144" w:rsidP="00EE0144">
            <w:pPr>
              <w:pStyle w:val="Nessunaspaziatura"/>
              <w:rPr>
                <w:rFonts w:cs="Calibri"/>
                <w:sz w:val="20"/>
                <w:szCs w:val="20"/>
              </w:rPr>
            </w:pPr>
            <w:r w:rsidRPr="00EE0144">
              <w:rPr>
                <w:rFonts w:cs="Calibri"/>
                <w:sz w:val="20"/>
                <w:szCs w:val="20"/>
              </w:rPr>
              <w:instrText>development/anticipation</w:instrText>
            </w:r>
            <w:r>
              <w:rPr>
                <w:rFonts w:cs="Calibri"/>
                <w:sz w:val="20"/>
                <w:szCs w:val="20"/>
              </w:rPr>
              <w:instrText xml:space="preserve">" </w:instrText>
            </w:r>
            <w:r w:rsidR="00076917">
              <w:rPr>
                <w:rFonts w:cs="Calibri"/>
                <w:sz w:val="20"/>
                <w:szCs w:val="20"/>
              </w:rPr>
              <w:fldChar w:fldCharType="separate"/>
            </w:r>
            <w:r w:rsidRPr="00FE3539">
              <w:rPr>
                <w:rStyle w:val="Collegamentoipertestuale"/>
                <w:rFonts w:cs="Calibri"/>
                <w:sz w:val="20"/>
                <w:szCs w:val="20"/>
              </w:rPr>
              <w:t>http://www.oph.fi/english/education development/anticipation</w:t>
            </w:r>
            <w:r w:rsidR="00076917">
              <w:rPr>
                <w:rFonts w:cs="Calibri"/>
                <w:sz w:val="20"/>
                <w:szCs w:val="20"/>
              </w:rPr>
              <w:fldChar w:fldCharType="end"/>
            </w:r>
          </w:p>
          <w:p w:rsidR="00EE0144" w:rsidRDefault="00EE0144" w:rsidP="00EE0144">
            <w:pPr>
              <w:pStyle w:val="Nessunaspaziatura"/>
              <w:rPr>
                <w:rFonts w:cs="Calibri"/>
                <w:sz w:val="20"/>
                <w:szCs w:val="20"/>
              </w:rPr>
            </w:pPr>
          </w:p>
          <w:p w:rsidR="00EE0144" w:rsidRPr="000C47AA" w:rsidRDefault="00076917" w:rsidP="00EE0144">
            <w:pPr>
              <w:pStyle w:val="Nessunaspaziatura"/>
              <w:rPr>
                <w:rFonts w:cs="Calibri"/>
                <w:sz w:val="20"/>
                <w:szCs w:val="20"/>
              </w:rPr>
            </w:pPr>
            <w:hyperlink r:id="rId10" w:history="1">
              <w:r w:rsidR="00EE0144" w:rsidRPr="00FE3539">
                <w:rPr>
                  <w:rStyle w:val="Collegamentoipertestuale"/>
                  <w:rFonts w:cs="Calibri"/>
                  <w:sz w:val="20"/>
                  <w:szCs w:val="20"/>
                </w:rPr>
                <w:t>http://www.oph.fi/english/education_development/anticipation/quantitative_anticipation</w:t>
              </w:r>
            </w:hyperlink>
          </w:p>
          <w:p w:rsidR="00EE0144" w:rsidRPr="000C47AA" w:rsidRDefault="00076917" w:rsidP="00EE0144">
            <w:pPr>
              <w:pStyle w:val="Nessunaspaziatura"/>
              <w:rPr>
                <w:rFonts w:cs="Calibri"/>
                <w:sz w:val="20"/>
                <w:szCs w:val="20"/>
              </w:rPr>
            </w:pPr>
            <w:hyperlink r:id="rId11" w:history="1">
              <w:r w:rsidR="00EE0144" w:rsidRPr="000C47AA">
                <w:rPr>
                  <w:rStyle w:val="Collegamentoipertestuale"/>
                  <w:rFonts w:cs="Calibri"/>
                  <w:sz w:val="20"/>
                  <w:szCs w:val="20"/>
                </w:rPr>
                <w:t>http://www.oph.fi/english/education_development/anticipation/qualitative_anticipation</w:t>
              </w:r>
            </w:hyperlink>
          </w:p>
          <w:p w:rsidR="001371DF" w:rsidRDefault="001371DF">
            <w:pPr>
              <w:rPr>
                <w:lang w:val="en-US"/>
              </w:rPr>
            </w:pPr>
          </w:p>
        </w:tc>
      </w:tr>
      <w:tr w:rsidR="008C04CF" w:rsidRPr="009A23DD" w:rsidTr="00EE0144">
        <w:tc>
          <w:tcPr>
            <w:tcW w:w="2964" w:type="dxa"/>
          </w:tcPr>
          <w:p w:rsidR="008C04CF" w:rsidRPr="00BF73A4" w:rsidRDefault="008C04CF" w:rsidP="00BF73A4">
            <w:pPr>
              <w:rPr>
                <w:lang w:val="en-US"/>
              </w:rPr>
            </w:pPr>
            <w:proofErr w:type="spellStart"/>
            <w:r w:rsidRPr="00BF73A4">
              <w:rPr>
                <w:u w:val="single"/>
                <w:lang w:val="en-US"/>
              </w:rPr>
              <w:t>Responsabilities</w:t>
            </w:r>
            <w:proofErr w:type="spellEnd"/>
            <w:r w:rsidRPr="00BF73A4">
              <w:rPr>
                <w:u w:val="single"/>
                <w:lang w:val="en-US"/>
              </w:rPr>
              <w:t xml:space="preserve"> in the decision making process</w:t>
            </w:r>
            <w:r w:rsidRPr="00BF73A4">
              <w:rPr>
                <w:lang w:val="en-US"/>
              </w:rPr>
              <w:t>:</w:t>
            </w:r>
          </w:p>
          <w:p w:rsidR="008C04CF" w:rsidRDefault="00BF73A4" w:rsidP="00BF73A4">
            <w:pPr>
              <w:rPr>
                <w:lang w:val="en-US"/>
              </w:rPr>
            </w:pPr>
            <w:r>
              <w:rPr>
                <w:lang w:val="en-US"/>
              </w:rPr>
              <w:t>In the process to reach the defined goals, t</w:t>
            </w:r>
            <w:r w:rsidR="008C04CF" w:rsidRPr="00BF73A4">
              <w:rPr>
                <w:lang w:val="en-US"/>
              </w:rPr>
              <w:t>he responsibility</w:t>
            </w:r>
            <w:r>
              <w:rPr>
                <w:lang w:val="en-US"/>
              </w:rPr>
              <w:t xml:space="preserve"> of the final decision is up to</w:t>
            </w:r>
          </w:p>
          <w:p w:rsidR="00BF73A4" w:rsidRPr="00BF73A4" w:rsidRDefault="00BF73A4" w:rsidP="00BF73A4">
            <w:pPr>
              <w:rPr>
                <w:lang w:val="en-US"/>
              </w:rPr>
            </w:pPr>
          </w:p>
          <w:p w:rsidR="008C04CF" w:rsidRDefault="00BF73A4" w:rsidP="00BF73A4">
            <w:pPr>
              <w:pStyle w:val="Paragrafoelenco"/>
              <w:numPr>
                <w:ilvl w:val="0"/>
                <w:numId w:val="13"/>
              </w:numPr>
              <w:spacing w:line="240" w:lineRule="auto"/>
              <w:jc w:val="left"/>
              <w:rPr>
                <w:lang w:val="en-US"/>
              </w:rPr>
            </w:pPr>
            <w:r>
              <w:rPr>
                <w:lang w:val="en-US"/>
              </w:rPr>
              <w:t>O</w:t>
            </w:r>
            <w:r w:rsidR="008C04CF">
              <w:rPr>
                <w:lang w:val="en-US"/>
              </w:rPr>
              <w:t>ne subject (who?);</w:t>
            </w:r>
          </w:p>
          <w:p w:rsidR="008C04CF" w:rsidRPr="00BF73A4" w:rsidRDefault="008C04CF" w:rsidP="00BF73A4">
            <w:pPr>
              <w:pStyle w:val="Paragrafoelenco"/>
              <w:numPr>
                <w:ilvl w:val="0"/>
                <w:numId w:val="13"/>
              </w:numPr>
              <w:spacing w:line="240" w:lineRule="auto"/>
              <w:jc w:val="left"/>
              <w:rPr>
                <w:u w:val="single"/>
                <w:lang w:val="en-US"/>
              </w:rPr>
            </w:pPr>
            <w:r>
              <w:rPr>
                <w:lang w:val="en-US"/>
              </w:rPr>
              <w:t>Two or more subject (shared responsibility).</w:t>
            </w:r>
          </w:p>
          <w:p w:rsidR="00BF73A4" w:rsidRPr="005649B5" w:rsidRDefault="00BF73A4" w:rsidP="00BF73A4">
            <w:pPr>
              <w:pStyle w:val="Paragrafoelenco"/>
              <w:spacing w:line="240" w:lineRule="auto"/>
              <w:ind w:left="360"/>
              <w:jc w:val="left"/>
              <w:rPr>
                <w:u w:val="single"/>
                <w:lang w:val="en-US"/>
              </w:rPr>
            </w:pPr>
          </w:p>
        </w:tc>
        <w:tc>
          <w:tcPr>
            <w:tcW w:w="6925" w:type="dxa"/>
          </w:tcPr>
          <w:p w:rsidR="001D1C1B" w:rsidRPr="00F06A1F" w:rsidRDefault="001D1C1B" w:rsidP="001D1C1B">
            <w:pPr>
              <w:pStyle w:val="Default"/>
              <w:rPr>
                <w:sz w:val="20"/>
                <w:szCs w:val="20"/>
                <w:lang w:val="en-US"/>
              </w:rPr>
            </w:pPr>
          </w:p>
          <w:p w:rsidR="00EA1B86" w:rsidRPr="009A23DD" w:rsidRDefault="006800E3" w:rsidP="00EA1B86">
            <w:pPr>
              <w:autoSpaceDE w:val="0"/>
              <w:autoSpaceDN w:val="0"/>
              <w:adjustRightInd w:val="0"/>
              <w:rPr>
                <w:rFonts w:cs="Arial"/>
                <w:color w:val="0070C0"/>
                <w:sz w:val="20"/>
                <w:szCs w:val="20"/>
                <w:lang w:val="en-US" w:eastAsia="en-GB"/>
              </w:rPr>
            </w:pPr>
            <w:r w:rsidRPr="009A23DD">
              <w:rPr>
                <w:rFonts w:cs="Times New Roman"/>
                <w:color w:val="0070C0"/>
                <w:sz w:val="20"/>
                <w:szCs w:val="20"/>
                <w:lang w:val="en-US" w:eastAsia="en-GB"/>
              </w:rPr>
              <w:t xml:space="preserve">The responsibility is shared between the </w:t>
            </w:r>
            <w:r w:rsidR="00472B49" w:rsidRPr="009A23DD">
              <w:rPr>
                <w:rFonts w:cs="Times New Roman"/>
                <w:color w:val="0070C0"/>
                <w:sz w:val="20"/>
                <w:szCs w:val="20"/>
                <w:lang w:val="en-US" w:eastAsia="en-GB"/>
              </w:rPr>
              <w:t>VATT</w:t>
            </w:r>
            <w:r w:rsidRPr="009A23DD">
              <w:rPr>
                <w:rFonts w:cs="Times New Roman"/>
                <w:color w:val="0070C0"/>
                <w:sz w:val="20"/>
                <w:szCs w:val="20"/>
                <w:lang w:val="en-US" w:eastAsia="en-GB"/>
              </w:rPr>
              <w:t xml:space="preserve"> and the </w:t>
            </w:r>
            <w:proofErr w:type="spellStart"/>
            <w:r w:rsidR="00D70F1D" w:rsidRPr="009A23DD">
              <w:rPr>
                <w:rFonts w:cs="Times New Roman"/>
                <w:color w:val="0070C0"/>
                <w:sz w:val="20"/>
                <w:szCs w:val="20"/>
                <w:lang w:val="en-US" w:eastAsia="en-GB"/>
              </w:rPr>
              <w:t>FNBE</w:t>
            </w:r>
            <w:r w:rsidR="00FF7BDA" w:rsidRPr="00627AB2">
              <w:rPr>
                <w:color w:val="0070C0"/>
                <w:sz w:val="20"/>
                <w:szCs w:val="20"/>
                <w:lang w:val="en-US"/>
              </w:rPr>
              <w:t>and</w:t>
            </w:r>
            <w:proofErr w:type="spellEnd"/>
            <w:r w:rsidR="00472B49">
              <w:rPr>
                <w:color w:val="0070C0"/>
                <w:sz w:val="20"/>
                <w:szCs w:val="20"/>
                <w:lang w:val="en-US"/>
              </w:rPr>
              <w:t xml:space="preserve"> </w:t>
            </w:r>
            <w:r w:rsidR="00EA1B86" w:rsidRPr="009A23DD">
              <w:rPr>
                <w:rFonts w:cs="Arial"/>
                <w:color w:val="0070C0"/>
                <w:sz w:val="20"/>
                <w:szCs w:val="20"/>
                <w:lang w:val="en-US" w:eastAsia="en-GB"/>
              </w:rPr>
              <w:t>commissioned by a collaborative group of four ministries (</w:t>
            </w:r>
            <w:proofErr w:type="spellStart"/>
            <w:r w:rsidR="00EA1B86" w:rsidRPr="009A23DD">
              <w:rPr>
                <w:rFonts w:cs="Arial"/>
                <w:color w:val="0070C0"/>
                <w:sz w:val="20"/>
                <w:szCs w:val="20"/>
                <w:lang w:val="en-US" w:eastAsia="en-GB"/>
              </w:rPr>
              <w:t>the</w:t>
            </w:r>
            <w:r w:rsidR="00D70F1D" w:rsidRPr="009A23DD">
              <w:rPr>
                <w:rFonts w:cs="Arial"/>
                <w:color w:val="0070C0"/>
                <w:sz w:val="20"/>
                <w:szCs w:val="20"/>
                <w:lang w:val="en-US" w:eastAsia="en-GB"/>
              </w:rPr>
              <w:t>MoEE</w:t>
            </w:r>
            <w:proofErr w:type="spellEnd"/>
            <w:r w:rsidR="00EA1B86" w:rsidRPr="009A23DD">
              <w:rPr>
                <w:rFonts w:cs="Arial"/>
                <w:color w:val="0070C0"/>
                <w:sz w:val="20"/>
                <w:szCs w:val="20"/>
                <w:lang w:val="en-US" w:eastAsia="en-GB"/>
              </w:rPr>
              <w:t xml:space="preserve">, the Ministry of Finance, the </w:t>
            </w:r>
            <w:proofErr w:type="spellStart"/>
            <w:r w:rsidR="00627AB2" w:rsidRPr="009A23DD">
              <w:rPr>
                <w:rFonts w:cs="Arial"/>
                <w:color w:val="0070C0"/>
                <w:sz w:val="20"/>
                <w:szCs w:val="20"/>
                <w:lang w:val="en-US" w:eastAsia="en-GB"/>
              </w:rPr>
              <w:t>MoEC</w:t>
            </w:r>
            <w:proofErr w:type="spellEnd"/>
            <w:r w:rsidR="00EA1B86" w:rsidRPr="009A23DD">
              <w:rPr>
                <w:rFonts w:cs="Arial"/>
                <w:color w:val="0070C0"/>
                <w:sz w:val="20"/>
                <w:szCs w:val="20"/>
                <w:lang w:val="en-US" w:eastAsia="en-GB"/>
              </w:rPr>
              <w:t xml:space="preserve"> and the </w:t>
            </w:r>
            <w:proofErr w:type="spellStart"/>
            <w:r w:rsidR="00627AB2" w:rsidRPr="009A23DD">
              <w:rPr>
                <w:rFonts w:cs="Arial"/>
                <w:color w:val="0070C0"/>
                <w:sz w:val="20"/>
                <w:szCs w:val="20"/>
                <w:lang w:val="en-US" w:eastAsia="en-GB"/>
              </w:rPr>
              <w:t>MoSocH</w:t>
            </w:r>
            <w:proofErr w:type="spellEnd"/>
            <w:r w:rsidR="00EA1B86" w:rsidRPr="009A23DD">
              <w:rPr>
                <w:rFonts w:cs="Arial"/>
                <w:color w:val="0070C0"/>
                <w:sz w:val="20"/>
                <w:szCs w:val="20"/>
                <w:lang w:val="en-US" w:eastAsia="en-GB"/>
              </w:rPr>
              <w:t xml:space="preserve">. </w:t>
            </w:r>
          </w:p>
          <w:p w:rsidR="00627AB2" w:rsidRPr="009A23DD" w:rsidRDefault="00627AB2" w:rsidP="001D1C1B">
            <w:pPr>
              <w:pStyle w:val="Default"/>
              <w:rPr>
                <w:rFonts w:asciiTheme="minorHAnsi" w:hAnsiTheme="minorHAnsi"/>
                <w:sz w:val="20"/>
                <w:szCs w:val="20"/>
                <w:lang w:val="en-US"/>
              </w:rPr>
            </w:pPr>
          </w:p>
          <w:p w:rsidR="00FF4D44" w:rsidRPr="00F06A1F" w:rsidRDefault="00FF4D44" w:rsidP="00FF4D44">
            <w:pPr>
              <w:jc w:val="both"/>
              <w:rPr>
                <w:rFonts w:ascii="Calibri" w:eastAsia="Times New Roman" w:hAnsi="Calibri" w:cs="Times New Roman"/>
                <w:b/>
                <w:sz w:val="20"/>
                <w:szCs w:val="20"/>
                <w:lang w:val="en-US"/>
              </w:rPr>
            </w:pPr>
            <w:r w:rsidRPr="00F06A1F">
              <w:rPr>
                <w:sz w:val="20"/>
                <w:szCs w:val="20"/>
                <w:lang w:val="en-US"/>
              </w:rPr>
              <w:t>F</w:t>
            </w:r>
            <w:r w:rsidRPr="00F06A1F">
              <w:rPr>
                <w:rFonts w:ascii="Calibri" w:eastAsia="Times New Roman" w:hAnsi="Calibri" w:cs="Times New Roman"/>
                <w:sz w:val="20"/>
                <w:szCs w:val="20"/>
                <w:lang w:val="en-US"/>
              </w:rPr>
              <w:t xml:space="preserve">inal decision of quotas is made by </w:t>
            </w:r>
            <w:proofErr w:type="spellStart"/>
            <w:r w:rsidRPr="00F06A1F">
              <w:rPr>
                <w:rFonts w:ascii="Calibri" w:eastAsia="Times New Roman" w:hAnsi="Calibri" w:cs="Times New Roman"/>
                <w:sz w:val="20"/>
                <w:szCs w:val="20"/>
                <w:lang w:val="en-US"/>
              </w:rPr>
              <w:t>MoEC</w:t>
            </w:r>
            <w:proofErr w:type="spellEnd"/>
            <w:r w:rsidRPr="00F06A1F">
              <w:rPr>
                <w:rFonts w:ascii="Calibri" w:eastAsia="Times New Roman" w:hAnsi="Calibri" w:cs="Times New Roman"/>
                <w:sz w:val="20"/>
                <w:szCs w:val="20"/>
                <w:lang w:val="en-US"/>
              </w:rPr>
              <w:t xml:space="preserve"> after hearing the comments of </w:t>
            </w:r>
            <w:proofErr w:type="spellStart"/>
            <w:r w:rsidRPr="00F06A1F">
              <w:rPr>
                <w:rFonts w:ascii="Calibri" w:eastAsia="Times New Roman" w:hAnsi="Calibri" w:cs="Times New Roman"/>
                <w:sz w:val="20"/>
                <w:szCs w:val="20"/>
                <w:lang w:val="en-US"/>
              </w:rPr>
              <w:t>MoSocH</w:t>
            </w:r>
            <w:proofErr w:type="spellEnd"/>
            <w:r w:rsidR="007C164E">
              <w:rPr>
                <w:rFonts w:ascii="Calibri" w:eastAsia="Times New Roman" w:hAnsi="Calibri" w:cs="Times New Roman"/>
                <w:sz w:val="20"/>
                <w:szCs w:val="20"/>
                <w:lang w:val="en-US"/>
              </w:rPr>
              <w:t xml:space="preserve"> </w:t>
            </w:r>
            <w:r w:rsidR="00FF7BDA" w:rsidRPr="00627AB2">
              <w:rPr>
                <w:rFonts w:ascii="Calibri" w:eastAsia="Times New Roman" w:hAnsi="Calibri" w:cs="Times New Roman"/>
                <w:color w:val="0070C0"/>
                <w:sz w:val="20"/>
                <w:szCs w:val="20"/>
                <w:lang w:val="en-US"/>
              </w:rPr>
              <w:t xml:space="preserve">but </w:t>
            </w:r>
            <w:r w:rsidRPr="00627AB2">
              <w:rPr>
                <w:rFonts w:ascii="Calibri" w:eastAsia="Times New Roman" w:hAnsi="Calibri" w:cs="Times New Roman"/>
                <w:color w:val="0070C0"/>
                <w:sz w:val="20"/>
                <w:szCs w:val="20"/>
                <w:lang w:val="en-US"/>
              </w:rPr>
              <w:t xml:space="preserve">also </w:t>
            </w:r>
            <w:r w:rsidR="00FF7BDA" w:rsidRPr="00627AB2">
              <w:rPr>
                <w:rFonts w:ascii="Calibri" w:eastAsia="Times New Roman" w:hAnsi="Calibri" w:cs="Times New Roman"/>
                <w:color w:val="0070C0"/>
                <w:sz w:val="20"/>
                <w:szCs w:val="20"/>
                <w:lang w:val="en-US"/>
              </w:rPr>
              <w:t>a</w:t>
            </w:r>
            <w:r w:rsidRPr="00627AB2">
              <w:rPr>
                <w:rFonts w:ascii="Calibri" w:eastAsia="Times New Roman" w:hAnsi="Calibri" w:cs="Times New Roman"/>
                <w:color w:val="0070C0"/>
                <w:sz w:val="20"/>
                <w:szCs w:val="20"/>
                <w:lang w:val="en-US"/>
              </w:rPr>
              <w:t>ssociation</w:t>
            </w:r>
            <w:r w:rsidR="00FF7BDA" w:rsidRPr="00627AB2">
              <w:rPr>
                <w:rFonts w:ascii="Calibri" w:eastAsia="Times New Roman" w:hAnsi="Calibri" w:cs="Times New Roman"/>
                <w:color w:val="0070C0"/>
                <w:sz w:val="20"/>
                <w:szCs w:val="20"/>
                <w:lang w:val="en-US"/>
              </w:rPr>
              <w:t>s representing health employers and employees</w:t>
            </w:r>
            <w:r w:rsidR="007C164E" w:rsidRPr="00627AB2">
              <w:rPr>
                <w:rFonts w:ascii="Calibri" w:eastAsia="Times New Roman" w:hAnsi="Calibri" w:cs="Times New Roman"/>
                <w:color w:val="0070C0"/>
                <w:sz w:val="20"/>
                <w:szCs w:val="20"/>
                <w:lang w:val="en-US"/>
              </w:rPr>
              <w:t xml:space="preserve"> </w:t>
            </w:r>
            <w:r w:rsidR="00FF7BDA" w:rsidRPr="00627AB2">
              <w:rPr>
                <w:rFonts w:ascii="Calibri" w:eastAsia="Times New Roman" w:hAnsi="Calibri" w:cs="Times New Roman"/>
                <w:color w:val="0070C0"/>
                <w:sz w:val="20"/>
                <w:szCs w:val="20"/>
                <w:lang w:val="en-US"/>
              </w:rPr>
              <w:t>are</w:t>
            </w:r>
            <w:r w:rsidRPr="00F06A1F">
              <w:rPr>
                <w:rFonts w:ascii="Calibri" w:eastAsia="Times New Roman" w:hAnsi="Calibri" w:cs="Times New Roman"/>
                <w:sz w:val="20"/>
                <w:szCs w:val="20"/>
                <w:lang w:val="en-US"/>
              </w:rPr>
              <w:t xml:space="preserve"> consulted</w:t>
            </w:r>
            <w:r w:rsidRPr="00F06A1F">
              <w:rPr>
                <w:sz w:val="20"/>
                <w:szCs w:val="20"/>
                <w:lang w:val="en-US"/>
              </w:rPr>
              <w:t xml:space="preserve"> (Source: WP5 survey)</w:t>
            </w:r>
          </w:p>
          <w:p w:rsidR="00FF4D44" w:rsidRPr="008C75EA" w:rsidRDefault="00FF4D44" w:rsidP="001D1C1B">
            <w:pPr>
              <w:pStyle w:val="Default"/>
              <w:rPr>
                <w:sz w:val="10"/>
                <w:szCs w:val="16"/>
                <w:lang w:val="en-US"/>
              </w:rPr>
            </w:pPr>
          </w:p>
          <w:p w:rsidR="00431326" w:rsidRPr="008C75EA" w:rsidRDefault="00431326" w:rsidP="00431326">
            <w:pPr>
              <w:pStyle w:val="Default"/>
              <w:rPr>
                <w:sz w:val="10"/>
                <w:szCs w:val="16"/>
                <w:lang w:val="en-US"/>
              </w:rPr>
            </w:pPr>
          </w:p>
          <w:p w:rsidR="008C04CF" w:rsidRDefault="008C04CF">
            <w:pPr>
              <w:rPr>
                <w:lang w:val="en-US"/>
              </w:rPr>
            </w:pPr>
          </w:p>
        </w:tc>
        <w:tc>
          <w:tcPr>
            <w:tcW w:w="4614" w:type="dxa"/>
          </w:tcPr>
          <w:p w:rsidR="008C04CF" w:rsidRDefault="008C04CF">
            <w:pPr>
              <w:rPr>
                <w:lang w:val="en-US"/>
              </w:rPr>
            </w:pPr>
          </w:p>
        </w:tc>
      </w:tr>
      <w:tr w:rsidR="00BF73A4" w:rsidRPr="009A23DD" w:rsidTr="00EE0144">
        <w:tc>
          <w:tcPr>
            <w:tcW w:w="2964" w:type="dxa"/>
          </w:tcPr>
          <w:p w:rsidR="00BF73A4" w:rsidRDefault="00BF73A4" w:rsidP="00BF73A4">
            <w:pPr>
              <w:rPr>
                <w:lang w:val="en-GB"/>
              </w:rPr>
            </w:pPr>
            <w:r w:rsidRPr="00BF73A4">
              <w:rPr>
                <w:u w:val="single"/>
                <w:lang w:val="en-GB"/>
              </w:rPr>
              <w:lastRenderedPageBreak/>
              <w:t>Communication</w:t>
            </w:r>
            <w:r>
              <w:rPr>
                <w:lang w:val="en-GB"/>
              </w:rPr>
              <w:t xml:space="preserve">: </w:t>
            </w:r>
          </w:p>
          <w:p w:rsidR="00BF73A4" w:rsidRDefault="00BF73A4" w:rsidP="00BF73A4">
            <w:pPr>
              <w:rPr>
                <w:lang w:val="en-GB"/>
              </w:rPr>
            </w:pPr>
            <w:r>
              <w:rPr>
                <w:lang w:val="en-GB"/>
              </w:rPr>
              <w:t>How the decisions regarding “the goals” and “the results” are communicated</w:t>
            </w:r>
            <w:r w:rsidRPr="00282464">
              <w:rPr>
                <w:lang w:val="en-GB"/>
              </w:rPr>
              <w:t>/ published</w:t>
            </w:r>
            <w:r>
              <w:rPr>
                <w:lang w:val="en-GB"/>
              </w:rPr>
              <w:t>?</w:t>
            </w:r>
          </w:p>
          <w:p w:rsidR="00AF3AEB" w:rsidRPr="00AF3AEB" w:rsidRDefault="00AF3AEB" w:rsidP="00AF3AEB">
            <w:pPr>
              <w:pStyle w:val="Paragrafoelenco"/>
              <w:numPr>
                <w:ilvl w:val="0"/>
                <w:numId w:val="17"/>
              </w:numPr>
              <w:spacing w:line="240" w:lineRule="auto"/>
              <w:jc w:val="left"/>
              <w:rPr>
                <w:lang w:val="en-US"/>
              </w:rPr>
            </w:pPr>
            <w:r w:rsidRPr="00AF3AEB">
              <w:rPr>
                <w:lang w:val="en-US"/>
              </w:rPr>
              <w:t>Goals;</w:t>
            </w:r>
          </w:p>
          <w:p w:rsidR="00AF3AEB" w:rsidRPr="00AF3AEB" w:rsidRDefault="00AF3AEB" w:rsidP="00AF3AEB">
            <w:pPr>
              <w:pStyle w:val="Paragrafoelenco"/>
              <w:numPr>
                <w:ilvl w:val="0"/>
                <w:numId w:val="17"/>
              </w:numPr>
              <w:spacing w:line="240" w:lineRule="auto"/>
              <w:jc w:val="left"/>
              <w:rPr>
                <w:lang w:val="en-US"/>
              </w:rPr>
            </w:pPr>
            <w:r w:rsidRPr="00AF3AEB">
              <w:rPr>
                <w:lang w:val="en-US"/>
              </w:rPr>
              <w:t>Results.</w:t>
            </w:r>
          </w:p>
          <w:p w:rsidR="00BF73A4" w:rsidRPr="00BF73A4" w:rsidRDefault="00BF73A4" w:rsidP="00BF73A4">
            <w:pPr>
              <w:rPr>
                <w:u w:val="single"/>
                <w:lang w:val="en-US"/>
              </w:rPr>
            </w:pPr>
          </w:p>
        </w:tc>
        <w:tc>
          <w:tcPr>
            <w:tcW w:w="6925" w:type="dxa"/>
          </w:tcPr>
          <w:p w:rsidR="00627AB2" w:rsidRPr="009A23DD" w:rsidRDefault="00EA1B86" w:rsidP="00EA1B86">
            <w:pPr>
              <w:rPr>
                <w:bCs/>
                <w:color w:val="0070C0"/>
                <w:sz w:val="20"/>
                <w:szCs w:val="20"/>
                <w:lang w:val="en-US" w:eastAsia="en-US"/>
              </w:rPr>
            </w:pPr>
            <w:r w:rsidRPr="009A23DD">
              <w:rPr>
                <w:bCs/>
                <w:color w:val="0070C0"/>
                <w:sz w:val="20"/>
                <w:szCs w:val="20"/>
                <w:lang w:val="en-US" w:eastAsia="en-US"/>
              </w:rPr>
              <w:t xml:space="preserve">The goals and outputs, such as entrant targets are published as part of the development plan of education and university </w:t>
            </w:r>
            <w:proofErr w:type="spellStart"/>
            <w:r w:rsidRPr="009A23DD">
              <w:rPr>
                <w:bCs/>
                <w:color w:val="0070C0"/>
                <w:sz w:val="20"/>
                <w:szCs w:val="20"/>
                <w:lang w:val="en-US" w:eastAsia="en-US"/>
              </w:rPr>
              <w:t>reaseach</w:t>
            </w:r>
            <w:proofErr w:type="spellEnd"/>
            <w:r w:rsidRPr="009A23DD">
              <w:rPr>
                <w:bCs/>
                <w:color w:val="0070C0"/>
                <w:sz w:val="20"/>
                <w:szCs w:val="20"/>
                <w:lang w:val="en-US" w:eastAsia="en-US"/>
              </w:rPr>
              <w:t xml:space="preserve"> which is adopted by the Government every four years for both the year in question and the following five calendar years. The development plan is prepared in accordance with the Decree on the Development Plan for Education and University Research (987/1998) and </w:t>
            </w:r>
            <w:proofErr w:type="spellStart"/>
            <w:r w:rsidRPr="009A23DD">
              <w:rPr>
                <w:bCs/>
                <w:color w:val="0070C0"/>
                <w:sz w:val="20"/>
                <w:szCs w:val="20"/>
                <w:lang w:val="en-US" w:eastAsia="en-US"/>
              </w:rPr>
              <w:t>publised</w:t>
            </w:r>
            <w:proofErr w:type="spellEnd"/>
            <w:r w:rsidRPr="009A23DD">
              <w:rPr>
                <w:bCs/>
                <w:color w:val="0070C0"/>
                <w:sz w:val="20"/>
                <w:szCs w:val="20"/>
                <w:lang w:val="en-US" w:eastAsia="en-US"/>
              </w:rPr>
              <w:t xml:space="preserve"> by the </w:t>
            </w:r>
            <w:proofErr w:type="spellStart"/>
            <w:r w:rsidRPr="009A23DD">
              <w:rPr>
                <w:bCs/>
                <w:color w:val="0070C0"/>
                <w:sz w:val="20"/>
                <w:szCs w:val="20"/>
                <w:lang w:val="en-US" w:eastAsia="en-US"/>
              </w:rPr>
              <w:t>Ministery</w:t>
            </w:r>
            <w:proofErr w:type="spellEnd"/>
            <w:r w:rsidRPr="009A23DD">
              <w:rPr>
                <w:bCs/>
                <w:color w:val="0070C0"/>
                <w:sz w:val="20"/>
                <w:szCs w:val="20"/>
                <w:lang w:val="en-US" w:eastAsia="en-US"/>
              </w:rPr>
              <w:t xml:space="preserve"> of Education and Culture.</w:t>
            </w:r>
          </w:p>
          <w:p w:rsidR="00627AB2" w:rsidRPr="009A23DD" w:rsidRDefault="00627AB2" w:rsidP="00EA1B86">
            <w:pPr>
              <w:rPr>
                <w:bCs/>
                <w:color w:val="0070C0"/>
                <w:sz w:val="20"/>
                <w:szCs w:val="20"/>
                <w:lang w:val="en-US" w:eastAsia="en-US"/>
              </w:rPr>
            </w:pPr>
          </w:p>
          <w:p w:rsidR="00BF73A4" w:rsidRPr="00EA1B86" w:rsidRDefault="00EA1B86" w:rsidP="00627AB2">
            <w:pPr>
              <w:rPr>
                <w:sz w:val="20"/>
                <w:szCs w:val="20"/>
                <w:lang w:val="en-US"/>
              </w:rPr>
            </w:pPr>
            <w:r w:rsidRPr="009A23DD">
              <w:rPr>
                <w:bCs/>
                <w:color w:val="0070C0"/>
                <w:sz w:val="20"/>
                <w:szCs w:val="20"/>
                <w:lang w:val="en-US" w:eastAsia="en-US"/>
              </w:rPr>
              <w:t xml:space="preserve"> In addition, </w:t>
            </w:r>
            <w:r w:rsidR="00D70F1D" w:rsidRPr="009A23DD">
              <w:rPr>
                <w:bCs/>
                <w:color w:val="0070C0"/>
                <w:sz w:val="20"/>
                <w:szCs w:val="20"/>
                <w:lang w:val="en-US" w:eastAsia="en-US"/>
              </w:rPr>
              <w:t>VATT</w:t>
            </w:r>
            <w:r w:rsidRPr="009A23DD">
              <w:rPr>
                <w:bCs/>
                <w:color w:val="0070C0"/>
                <w:sz w:val="20"/>
                <w:szCs w:val="20"/>
                <w:lang w:val="en-US" w:eastAsia="en-US"/>
              </w:rPr>
              <w:t xml:space="preserve"> and the </w:t>
            </w:r>
            <w:r w:rsidR="00627AB2" w:rsidRPr="009A23DD">
              <w:rPr>
                <w:bCs/>
                <w:color w:val="0070C0"/>
                <w:sz w:val="20"/>
                <w:szCs w:val="20"/>
                <w:lang w:val="en-US" w:eastAsia="en-US"/>
              </w:rPr>
              <w:t>FNB</w:t>
            </w:r>
            <w:r w:rsidRPr="009A23DD">
              <w:rPr>
                <w:bCs/>
                <w:color w:val="0070C0"/>
                <w:sz w:val="20"/>
                <w:szCs w:val="20"/>
                <w:lang w:val="en-US" w:eastAsia="en-US"/>
              </w:rPr>
              <w:t>E publish several reports on the forecasting process and outcomes.</w:t>
            </w:r>
          </w:p>
        </w:tc>
        <w:tc>
          <w:tcPr>
            <w:tcW w:w="4614" w:type="dxa"/>
          </w:tcPr>
          <w:p w:rsidR="00BF73A4" w:rsidRDefault="00BF73A4">
            <w:pPr>
              <w:rPr>
                <w:lang w:val="en-US"/>
              </w:rPr>
            </w:pPr>
          </w:p>
        </w:tc>
      </w:tr>
    </w:tbl>
    <w:p w:rsidR="00AF3AEB" w:rsidRDefault="00AF3AEB" w:rsidP="00BF73A4">
      <w:pPr>
        <w:rPr>
          <w:b/>
          <w:lang w:val="en-US"/>
        </w:rPr>
      </w:pPr>
    </w:p>
    <w:p w:rsidR="00BF73A4" w:rsidRDefault="00BF73A4" w:rsidP="00BF73A4">
      <w:pPr>
        <w:rPr>
          <w:lang w:val="en-US"/>
        </w:rPr>
      </w:pPr>
      <w:r w:rsidRPr="00BF73A4">
        <w:rPr>
          <w:b/>
          <w:lang w:val="en-US"/>
        </w:rPr>
        <w:t xml:space="preserve">GOALS OF THE HWF PLANNING SYSTEM </w:t>
      </w:r>
      <w:r w:rsidRPr="00D31248">
        <w:rPr>
          <w:lang w:val="en-US"/>
        </w:rPr>
        <w:t>(</w:t>
      </w:r>
      <w:r>
        <w:rPr>
          <w:lang w:val="en-US"/>
        </w:rPr>
        <w:t>reporting and describing</w:t>
      </w:r>
      <w:r w:rsidRPr="00BF73A4">
        <w:rPr>
          <w:lang w:val="en-US"/>
        </w:rPr>
        <w:t xml:space="preserve"> the goals of the HWF planning system</w:t>
      </w:r>
      <w:r w:rsidRPr="00D31248">
        <w:rPr>
          <w:lang w:val="en-US"/>
        </w:rPr>
        <w:t>)</w:t>
      </w:r>
    </w:p>
    <w:tbl>
      <w:tblPr>
        <w:tblStyle w:val="Grigliatabella"/>
        <w:tblW w:w="0" w:type="auto"/>
        <w:tblLayout w:type="fixed"/>
        <w:tblLook w:val="04A0"/>
      </w:tblPr>
      <w:tblGrid>
        <w:gridCol w:w="3936"/>
        <w:gridCol w:w="7938"/>
        <w:gridCol w:w="2629"/>
      </w:tblGrid>
      <w:tr w:rsidR="00BF73A4" w:rsidTr="00D70F1D">
        <w:tc>
          <w:tcPr>
            <w:tcW w:w="3936" w:type="dxa"/>
          </w:tcPr>
          <w:p w:rsidR="00BF73A4" w:rsidRPr="00130DEA" w:rsidRDefault="00BF73A4" w:rsidP="007F6F1F">
            <w:pPr>
              <w:rPr>
                <w:b/>
                <w:lang w:val="en-US"/>
              </w:rPr>
            </w:pPr>
            <w:r>
              <w:rPr>
                <w:b/>
                <w:sz w:val="24"/>
                <w:lang w:val="en-US"/>
              </w:rPr>
              <w:t>Main aspects</w:t>
            </w:r>
          </w:p>
        </w:tc>
        <w:tc>
          <w:tcPr>
            <w:tcW w:w="7938" w:type="dxa"/>
          </w:tcPr>
          <w:p w:rsidR="00BF73A4" w:rsidRDefault="00BF73A4" w:rsidP="007F6F1F">
            <w:pPr>
              <w:jc w:val="center"/>
              <w:rPr>
                <w:lang w:val="en-US"/>
              </w:rPr>
            </w:pPr>
            <w:r>
              <w:rPr>
                <w:lang w:val="en-US"/>
              </w:rPr>
              <w:t>Description / Examples</w:t>
            </w:r>
          </w:p>
        </w:tc>
        <w:tc>
          <w:tcPr>
            <w:tcW w:w="2629" w:type="dxa"/>
          </w:tcPr>
          <w:p w:rsidR="00BF73A4" w:rsidRDefault="00BF73A4" w:rsidP="007F6F1F">
            <w:pPr>
              <w:jc w:val="center"/>
              <w:rPr>
                <w:lang w:val="en-US"/>
              </w:rPr>
            </w:pPr>
            <w:r>
              <w:rPr>
                <w:lang w:val="en-US"/>
              </w:rPr>
              <w:t>Documents</w:t>
            </w:r>
          </w:p>
        </w:tc>
      </w:tr>
      <w:tr w:rsidR="00BF73A4" w:rsidRPr="009A23DD" w:rsidTr="00D70F1D">
        <w:tc>
          <w:tcPr>
            <w:tcW w:w="3936" w:type="dxa"/>
          </w:tcPr>
          <w:p w:rsidR="00BF73A4" w:rsidRPr="00D70F1D" w:rsidRDefault="00BF73A4" w:rsidP="00BF73A4">
            <w:pPr>
              <w:rPr>
                <w:rFonts w:cstheme="minorHAnsi"/>
                <w:sz w:val="20"/>
                <w:szCs w:val="20"/>
                <w:lang w:val="en-US"/>
              </w:rPr>
            </w:pPr>
            <w:r w:rsidRPr="00D70F1D">
              <w:rPr>
                <w:rFonts w:cstheme="minorHAnsi"/>
                <w:sz w:val="20"/>
                <w:szCs w:val="20"/>
                <w:lang w:val="en-US"/>
              </w:rPr>
              <w:t>The goals are</w:t>
            </w:r>
          </w:p>
          <w:p w:rsidR="00BF73A4" w:rsidRPr="00D70F1D" w:rsidRDefault="00BF73A4" w:rsidP="00BF73A4">
            <w:pPr>
              <w:pStyle w:val="Paragrafoelenco"/>
              <w:numPr>
                <w:ilvl w:val="0"/>
                <w:numId w:val="14"/>
              </w:numPr>
              <w:spacing w:line="240" w:lineRule="auto"/>
              <w:jc w:val="left"/>
              <w:rPr>
                <w:rFonts w:asciiTheme="minorHAnsi" w:hAnsiTheme="minorHAnsi" w:cstheme="minorHAnsi"/>
                <w:sz w:val="20"/>
                <w:szCs w:val="20"/>
                <w:lang w:val="en-US"/>
              </w:rPr>
            </w:pPr>
            <w:r w:rsidRPr="00D70F1D">
              <w:rPr>
                <w:rFonts w:asciiTheme="minorHAnsi" w:hAnsiTheme="minorHAnsi" w:cstheme="minorHAnsi"/>
                <w:sz w:val="20"/>
                <w:szCs w:val="20"/>
                <w:lang w:val="en-US"/>
              </w:rPr>
              <w:t>Explicit or</w:t>
            </w:r>
            <w:r w:rsidR="00BB7041">
              <w:rPr>
                <w:rFonts w:asciiTheme="minorHAnsi" w:hAnsiTheme="minorHAnsi" w:cstheme="minorHAnsi"/>
                <w:sz w:val="20"/>
                <w:szCs w:val="20"/>
                <w:lang w:val="en-US"/>
              </w:rPr>
              <w:t xml:space="preserve"> </w:t>
            </w:r>
            <w:r w:rsidRPr="00D70F1D">
              <w:rPr>
                <w:rFonts w:asciiTheme="minorHAnsi" w:hAnsiTheme="minorHAnsi" w:cstheme="minorHAnsi"/>
                <w:sz w:val="20"/>
                <w:szCs w:val="20"/>
                <w:lang w:val="en-US"/>
              </w:rPr>
              <w:t>Implicit (communicated or not);</w:t>
            </w:r>
          </w:p>
          <w:p w:rsidR="00BF73A4" w:rsidRPr="00D70F1D" w:rsidRDefault="00BF73A4" w:rsidP="00BF73A4">
            <w:pPr>
              <w:pStyle w:val="Paragrafoelenco"/>
              <w:numPr>
                <w:ilvl w:val="0"/>
                <w:numId w:val="14"/>
              </w:numPr>
              <w:spacing w:line="240" w:lineRule="auto"/>
              <w:jc w:val="left"/>
              <w:rPr>
                <w:rFonts w:asciiTheme="minorHAnsi" w:hAnsiTheme="minorHAnsi" w:cstheme="minorHAnsi"/>
                <w:sz w:val="20"/>
                <w:szCs w:val="20"/>
                <w:lang w:val="en-US"/>
              </w:rPr>
            </w:pPr>
            <w:r w:rsidRPr="00D70F1D">
              <w:rPr>
                <w:rFonts w:asciiTheme="minorHAnsi" w:hAnsiTheme="minorHAnsi" w:cstheme="minorHAnsi"/>
                <w:sz w:val="20"/>
                <w:szCs w:val="20"/>
                <w:lang w:val="en-US"/>
              </w:rPr>
              <w:t>Specific or Generic (type of objective);</w:t>
            </w:r>
          </w:p>
          <w:p w:rsidR="00BF73A4" w:rsidRPr="00D70F1D" w:rsidRDefault="00BF73A4" w:rsidP="00BF73A4">
            <w:pPr>
              <w:pStyle w:val="Paragrafoelenco"/>
              <w:numPr>
                <w:ilvl w:val="0"/>
                <w:numId w:val="14"/>
              </w:numPr>
              <w:spacing w:line="240" w:lineRule="auto"/>
              <w:jc w:val="left"/>
              <w:rPr>
                <w:rFonts w:asciiTheme="minorHAnsi" w:hAnsiTheme="minorHAnsi" w:cstheme="minorHAnsi"/>
                <w:sz w:val="20"/>
                <w:szCs w:val="20"/>
                <w:lang w:val="en-US"/>
              </w:rPr>
            </w:pPr>
            <w:r w:rsidRPr="00D70F1D">
              <w:rPr>
                <w:rFonts w:asciiTheme="minorHAnsi" w:hAnsiTheme="minorHAnsi" w:cstheme="minorHAnsi"/>
                <w:sz w:val="20"/>
                <w:szCs w:val="20"/>
                <w:lang w:val="en-US"/>
              </w:rPr>
              <w:t>Measurable or not (is it possible to set indicator?;</w:t>
            </w:r>
          </w:p>
          <w:p w:rsidR="00BF73A4" w:rsidRPr="00D70F1D" w:rsidRDefault="00BF73A4" w:rsidP="00BF73A4">
            <w:pPr>
              <w:pStyle w:val="Paragrafoelenco"/>
              <w:numPr>
                <w:ilvl w:val="0"/>
                <w:numId w:val="14"/>
              </w:numPr>
              <w:spacing w:line="240" w:lineRule="auto"/>
              <w:jc w:val="left"/>
              <w:rPr>
                <w:rFonts w:asciiTheme="minorHAnsi" w:hAnsiTheme="minorHAnsi" w:cstheme="minorHAnsi"/>
                <w:sz w:val="20"/>
                <w:szCs w:val="20"/>
                <w:lang w:val="en-US"/>
              </w:rPr>
            </w:pPr>
            <w:r w:rsidRPr="00D70F1D">
              <w:rPr>
                <w:rFonts w:asciiTheme="minorHAnsi" w:hAnsiTheme="minorHAnsi" w:cstheme="minorHAnsi"/>
                <w:sz w:val="20"/>
                <w:szCs w:val="20"/>
                <w:lang w:val="en-US"/>
              </w:rPr>
              <w:t>Attainable (is there an action plan) or not;</w:t>
            </w:r>
          </w:p>
          <w:p w:rsidR="00BF73A4" w:rsidRPr="00D70F1D" w:rsidRDefault="00BF73A4" w:rsidP="00BF73A4">
            <w:pPr>
              <w:pStyle w:val="Paragrafoelenco"/>
              <w:numPr>
                <w:ilvl w:val="0"/>
                <w:numId w:val="14"/>
              </w:numPr>
              <w:spacing w:line="240" w:lineRule="auto"/>
              <w:jc w:val="left"/>
              <w:rPr>
                <w:rFonts w:asciiTheme="minorHAnsi" w:hAnsiTheme="minorHAnsi" w:cstheme="minorHAnsi"/>
                <w:sz w:val="20"/>
                <w:szCs w:val="20"/>
                <w:lang w:val="en-US"/>
              </w:rPr>
            </w:pPr>
            <w:r w:rsidRPr="00D70F1D">
              <w:rPr>
                <w:rFonts w:asciiTheme="minorHAnsi" w:hAnsiTheme="minorHAnsi" w:cstheme="minorHAnsi"/>
                <w:sz w:val="20"/>
                <w:szCs w:val="20"/>
                <w:lang w:val="en-US"/>
              </w:rPr>
              <w:t>Realistic (are there restriction?) or not;</w:t>
            </w:r>
          </w:p>
          <w:p w:rsidR="00BF73A4" w:rsidRPr="00D70F1D" w:rsidRDefault="00BF73A4" w:rsidP="00BF73A4">
            <w:pPr>
              <w:pStyle w:val="Paragrafoelenco"/>
              <w:numPr>
                <w:ilvl w:val="0"/>
                <w:numId w:val="14"/>
              </w:numPr>
              <w:spacing w:line="240" w:lineRule="auto"/>
              <w:jc w:val="left"/>
              <w:rPr>
                <w:rFonts w:asciiTheme="minorHAnsi" w:hAnsiTheme="minorHAnsi" w:cstheme="minorHAnsi"/>
                <w:sz w:val="20"/>
                <w:szCs w:val="20"/>
                <w:lang w:val="en-US"/>
              </w:rPr>
            </w:pPr>
            <w:r w:rsidRPr="00D70F1D">
              <w:rPr>
                <w:rFonts w:asciiTheme="minorHAnsi" w:hAnsiTheme="minorHAnsi" w:cstheme="minorHAnsi"/>
                <w:sz w:val="20"/>
                <w:szCs w:val="20"/>
                <w:lang w:val="en-US"/>
              </w:rPr>
              <w:t>Timely or not (is set a time frame to reach the target? If so, which time frame?).</w:t>
            </w:r>
          </w:p>
          <w:p w:rsidR="00BF73A4" w:rsidRDefault="00BF73A4" w:rsidP="00BF73A4">
            <w:pPr>
              <w:pStyle w:val="Paragrafoelenco"/>
              <w:spacing w:line="240" w:lineRule="auto"/>
              <w:ind w:left="360"/>
              <w:jc w:val="left"/>
              <w:rPr>
                <w:lang w:val="en-US"/>
              </w:rPr>
            </w:pPr>
          </w:p>
        </w:tc>
        <w:tc>
          <w:tcPr>
            <w:tcW w:w="7938" w:type="dxa"/>
          </w:tcPr>
          <w:p w:rsidR="00B17E1F" w:rsidRPr="00B17E1F" w:rsidRDefault="00B17E1F" w:rsidP="00B17E1F">
            <w:pPr>
              <w:rPr>
                <w:sz w:val="16"/>
                <w:lang w:val="en-US"/>
              </w:rPr>
            </w:pPr>
            <w:r w:rsidRPr="00B17E1F">
              <w:rPr>
                <w:sz w:val="16"/>
                <w:lang w:val="en-US"/>
              </w:rPr>
              <w:t xml:space="preserve">The goal is to achieve a better balance between the supply of education and training and the workforce demand as well as to support decision-making on education and training. </w:t>
            </w:r>
          </w:p>
          <w:p w:rsidR="00B17E1F" w:rsidRPr="00B17E1F" w:rsidRDefault="00B17E1F" w:rsidP="00B17E1F">
            <w:pPr>
              <w:rPr>
                <w:sz w:val="16"/>
                <w:lang w:val="en-US"/>
              </w:rPr>
            </w:pPr>
            <w:r w:rsidRPr="00B17E1F">
              <w:rPr>
                <w:sz w:val="16"/>
                <w:lang w:val="en-US"/>
              </w:rPr>
              <w:t>A key objective of education policy is to provide all young people (the average 16-21 age group for a certain period of time) an opportunity to apply for vocational and professional education and training. This approach aims to ensure that young people entering education and training will be divided into educational fields in accordance with the anticipated workforce demand in different industries.</w:t>
            </w:r>
          </w:p>
          <w:p w:rsidR="00B17E1F" w:rsidRPr="00B17E1F" w:rsidRDefault="00B17E1F" w:rsidP="00B17E1F">
            <w:pPr>
              <w:rPr>
                <w:sz w:val="16"/>
                <w:lang w:val="en-US"/>
              </w:rPr>
            </w:pPr>
          </w:p>
          <w:p w:rsidR="00B17E1F" w:rsidRPr="00B17E1F" w:rsidRDefault="00B17E1F" w:rsidP="00B17E1F">
            <w:pPr>
              <w:rPr>
                <w:sz w:val="16"/>
                <w:lang w:val="en-US"/>
              </w:rPr>
            </w:pPr>
            <w:r w:rsidRPr="00B17E1F">
              <w:rPr>
                <w:sz w:val="16"/>
                <w:lang w:val="en-US"/>
              </w:rPr>
              <w:t>The development plan for education and university research defines targets for educational supply within the next five years as entrant targets and output of qualifications for every field and level of professional and vocational education and training.</w:t>
            </w:r>
          </w:p>
          <w:p w:rsidR="00B17E1F" w:rsidRPr="00B17E1F" w:rsidRDefault="00B17E1F" w:rsidP="00B17E1F">
            <w:pPr>
              <w:rPr>
                <w:sz w:val="16"/>
                <w:lang w:val="en-US"/>
              </w:rPr>
            </w:pPr>
            <w:r w:rsidRPr="00B17E1F">
              <w:rPr>
                <w:sz w:val="16"/>
                <w:lang w:val="en-US"/>
              </w:rPr>
              <w:t xml:space="preserve">The intake in universities, polytechnics and vocational institutions is defined in accordance with the national entrant targets. </w:t>
            </w:r>
          </w:p>
          <w:p w:rsidR="00B17E1F" w:rsidRPr="00B17E1F" w:rsidRDefault="00B17E1F" w:rsidP="00B17E1F">
            <w:pPr>
              <w:rPr>
                <w:sz w:val="16"/>
                <w:lang w:val="en-US"/>
              </w:rPr>
            </w:pPr>
          </w:p>
          <w:p w:rsidR="00B17E1F" w:rsidRPr="00B17E1F" w:rsidRDefault="00B17E1F" w:rsidP="00B17E1F">
            <w:pPr>
              <w:rPr>
                <w:sz w:val="16"/>
                <w:lang w:val="en-US"/>
              </w:rPr>
            </w:pPr>
            <w:r w:rsidRPr="00B17E1F">
              <w:rPr>
                <w:sz w:val="16"/>
                <w:lang w:val="en-US"/>
              </w:rPr>
              <w:t>A national development plan for social and health care services which is adopted by the Government every four years defines the development objectives for municipal social and health care services and main measures to achieve them</w:t>
            </w:r>
            <w:r w:rsidRPr="00627AB2">
              <w:rPr>
                <w:color w:val="0070C0"/>
                <w:sz w:val="16"/>
                <w:lang w:val="en-US"/>
              </w:rPr>
              <w:t xml:space="preserve">. </w:t>
            </w:r>
            <w:r w:rsidR="00497979" w:rsidRPr="00627AB2">
              <w:rPr>
                <w:color w:val="0070C0"/>
                <w:sz w:val="16"/>
                <w:highlight w:val="yellow"/>
                <w:lang w:val="en-US"/>
              </w:rPr>
              <w:t>This plan defines</w:t>
            </w:r>
            <w:r w:rsidR="007C164E">
              <w:rPr>
                <w:sz w:val="16"/>
                <w:lang w:val="en-US"/>
              </w:rPr>
              <w:t xml:space="preserve"> </w:t>
            </w:r>
            <w:r w:rsidRPr="00B17E1F">
              <w:rPr>
                <w:sz w:val="16"/>
                <w:lang w:val="en-US"/>
              </w:rPr>
              <w:t>also measures to ensure the sufficiency and skills of the personnel</w:t>
            </w:r>
            <w:r w:rsidR="00882062">
              <w:rPr>
                <w:sz w:val="16"/>
                <w:lang w:val="en-US"/>
              </w:rPr>
              <w:t xml:space="preserve">, </w:t>
            </w:r>
            <w:r w:rsidR="00882062" w:rsidRPr="00627AB2">
              <w:rPr>
                <w:color w:val="0070C0"/>
                <w:sz w:val="16"/>
                <w:highlight w:val="yellow"/>
                <w:lang w:val="en-US"/>
              </w:rPr>
              <w:t>retention policy issues, redistribution of professional responsibilities</w:t>
            </w:r>
            <w:r w:rsidR="00882062">
              <w:rPr>
                <w:sz w:val="16"/>
                <w:highlight w:val="yellow"/>
                <w:lang w:val="en-US"/>
              </w:rPr>
              <w:t xml:space="preserve"> </w:t>
            </w:r>
            <w:r w:rsidR="00882062">
              <w:rPr>
                <w:sz w:val="16"/>
                <w:lang w:val="en-US"/>
              </w:rPr>
              <w:t xml:space="preserve">and </w:t>
            </w:r>
            <w:r w:rsidRPr="00B17E1F">
              <w:rPr>
                <w:sz w:val="16"/>
                <w:lang w:val="en-US"/>
              </w:rPr>
              <w:t>well-being at work  in social and health care.</w:t>
            </w:r>
          </w:p>
          <w:p w:rsidR="00B17E1F" w:rsidRPr="00B17E1F" w:rsidRDefault="00B17E1F" w:rsidP="00B17E1F">
            <w:pPr>
              <w:rPr>
                <w:sz w:val="16"/>
                <w:lang w:val="en-US"/>
              </w:rPr>
            </w:pPr>
          </w:p>
          <w:p w:rsidR="00BF73A4" w:rsidRDefault="00B17E1F" w:rsidP="00B17E1F">
            <w:pPr>
              <w:rPr>
                <w:sz w:val="16"/>
                <w:lang w:val="en-US"/>
              </w:rPr>
            </w:pPr>
            <w:r w:rsidRPr="00B17E1F">
              <w:rPr>
                <w:sz w:val="16"/>
                <w:lang w:val="en-US"/>
              </w:rPr>
              <w:t>In addition, legislation regulates the responsibilities of the hospitals districts and the local authorities to ensure that the sufficiency of the personnel in health care is in accordanc</w:t>
            </w:r>
            <w:r>
              <w:rPr>
                <w:sz w:val="16"/>
                <w:lang w:val="en-US"/>
              </w:rPr>
              <w:t>e</w:t>
            </w:r>
            <w:r w:rsidRPr="00B17E1F">
              <w:rPr>
                <w:sz w:val="16"/>
                <w:lang w:val="en-US"/>
              </w:rPr>
              <w:t xml:space="preserve"> with the care needs of the population. The hospital districts within a catchment area for highly </w:t>
            </w:r>
            <w:proofErr w:type="spellStart"/>
            <w:r w:rsidRPr="00B17E1F">
              <w:rPr>
                <w:sz w:val="16"/>
                <w:lang w:val="en-US"/>
              </w:rPr>
              <w:t>specialised</w:t>
            </w:r>
            <w:proofErr w:type="spellEnd"/>
            <w:r w:rsidRPr="00B17E1F">
              <w:rPr>
                <w:sz w:val="16"/>
                <w:lang w:val="en-US"/>
              </w:rPr>
              <w:t xml:space="preserve"> medical care have to ensure that all treatment units providing services according to the agreement on the provision of </w:t>
            </w:r>
            <w:proofErr w:type="spellStart"/>
            <w:r w:rsidRPr="00B17E1F">
              <w:rPr>
                <w:sz w:val="16"/>
                <w:lang w:val="en-US"/>
              </w:rPr>
              <w:t>specialised</w:t>
            </w:r>
            <w:proofErr w:type="spellEnd"/>
            <w:r w:rsidRPr="00B17E1F">
              <w:rPr>
                <w:sz w:val="16"/>
                <w:lang w:val="en-US"/>
              </w:rPr>
              <w:t xml:space="preserve"> medical care have adequate financial and human resources and competence (Act 1326/2010). The local authorities forming the joint municipal authority for a hospital district have to ensure the availability of the personnel in primary health care through a health care provision plan which must be provided on the basis of the health statistics and the needs of the population (Decree 337/2011).</w:t>
            </w:r>
          </w:p>
          <w:p w:rsidR="00B17E1F" w:rsidRDefault="00B17E1F" w:rsidP="00B17E1F">
            <w:pPr>
              <w:rPr>
                <w:sz w:val="16"/>
                <w:lang w:val="en-US"/>
              </w:rPr>
            </w:pPr>
          </w:p>
          <w:p w:rsidR="00B17E1F" w:rsidRPr="00B17E1F" w:rsidRDefault="00B17E1F" w:rsidP="00B17E1F">
            <w:pPr>
              <w:rPr>
                <w:sz w:val="16"/>
                <w:lang w:val="en-US"/>
              </w:rPr>
            </w:pPr>
            <w:r>
              <w:rPr>
                <w:rFonts w:cs="Arial"/>
                <w:sz w:val="16"/>
                <w:szCs w:val="24"/>
                <w:lang w:val="en-US" w:eastAsia="en-GB"/>
              </w:rPr>
              <w:t>(Source: OECD study)</w:t>
            </w:r>
          </w:p>
        </w:tc>
        <w:tc>
          <w:tcPr>
            <w:tcW w:w="2629" w:type="dxa"/>
          </w:tcPr>
          <w:p w:rsidR="00BF73A4" w:rsidRPr="00627AB2" w:rsidRDefault="00076917" w:rsidP="007F6F1F">
            <w:pPr>
              <w:rPr>
                <w:rStyle w:val="Collegamentoipertestuale"/>
                <w:bCs/>
                <w:sz w:val="20"/>
                <w:szCs w:val="20"/>
                <w:lang w:val="en-US" w:eastAsia="en-US"/>
              </w:rPr>
            </w:pPr>
            <w:hyperlink r:id="rId12" w:history="1">
              <w:r w:rsidR="00B17E1F" w:rsidRPr="00627AB2">
                <w:rPr>
                  <w:rStyle w:val="Collegamentoipertestuale"/>
                  <w:bCs/>
                  <w:sz w:val="20"/>
                  <w:szCs w:val="20"/>
                  <w:lang w:val="en-US" w:eastAsia="en-US"/>
                </w:rPr>
                <w:t>http://www.minedu.fi/export/sites/default/OPM/Koulutus/koulutuspolitiikka/asiakirjat/Kesu_2011_2016_fi.pdf</w:t>
              </w:r>
            </w:hyperlink>
          </w:p>
          <w:p w:rsidR="00EE0144" w:rsidRPr="00627AB2" w:rsidRDefault="00EE0144" w:rsidP="007F6F1F">
            <w:pPr>
              <w:rPr>
                <w:bCs/>
                <w:color w:val="000000"/>
                <w:sz w:val="20"/>
                <w:szCs w:val="20"/>
                <w:lang w:val="en-US" w:eastAsia="en-US"/>
              </w:rPr>
            </w:pPr>
          </w:p>
          <w:p w:rsidR="00B17E1F" w:rsidRPr="00627AB2" w:rsidRDefault="00076917" w:rsidP="00B17E1F">
            <w:pPr>
              <w:autoSpaceDE w:val="0"/>
              <w:autoSpaceDN w:val="0"/>
              <w:adjustRightInd w:val="0"/>
              <w:rPr>
                <w:bCs/>
                <w:color w:val="000000"/>
                <w:sz w:val="20"/>
                <w:szCs w:val="20"/>
                <w:lang w:val="en-US" w:eastAsia="en-US"/>
              </w:rPr>
            </w:pPr>
            <w:hyperlink r:id="rId13" w:history="1">
              <w:r w:rsidR="00B17E1F" w:rsidRPr="00627AB2">
                <w:rPr>
                  <w:rStyle w:val="Collegamentoipertestuale"/>
                  <w:bCs/>
                  <w:sz w:val="20"/>
                  <w:szCs w:val="20"/>
                  <w:lang w:val="en-US" w:eastAsia="en-US"/>
                </w:rPr>
                <w:t>http://www.vatt.fi/file/vatt_publication_pdf/t154.pdf</w:t>
              </w:r>
            </w:hyperlink>
          </w:p>
          <w:p w:rsidR="00EE0144" w:rsidRPr="00627AB2" w:rsidRDefault="00EE0144" w:rsidP="00B17E1F">
            <w:pPr>
              <w:autoSpaceDE w:val="0"/>
              <w:autoSpaceDN w:val="0"/>
              <w:adjustRightInd w:val="0"/>
              <w:rPr>
                <w:bCs/>
                <w:color w:val="000000"/>
                <w:sz w:val="20"/>
                <w:szCs w:val="20"/>
                <w:lang w:val="en-US" w:eastAsia="en-US"/>
              </w:rPr>
            </w:pPr>
          </w:p>
          <w:p w:rsidR="00B17E1F" w:rsidRPr="00627AB2" w:rsidRDefault="00076917" w:rsidP="00B17E1F">
            <w:pPr>
              <w:rPr>
                <w:sz w:val="20"/>
                <w:szCs w:val="20"/>
                <w:lang w:val="en-US"/>
              </w:rPr>
            </w:pPr>
            <w:hyperlink r:id="rId14" w:history="1">
              <w:r w:rsidR="00B17E1F" w:rsidRPr="00627AB2">
                <w:rPr>
                  <w:rStyle w:val="Collegamentoipertestuale"/>
                  <w:sz w:val="20"/>
                  <w:szCs w:val="20"/>
                  <w:lang w:val="en-US"/>
                </w:rPr>
                <w:t>http://www.vatt.fi/file/vatt_publication_pdf/t161.pdf</w:t>
              </w:r>
            </w:hyperlink>
          </w:p>
          <w:p w:rsidR="00EE0144" w:rsidRPr="00627AB2" w:rsidRDefault="00EE0144" w:rsidP="00B17E1F">
            <w:pPr>
              <w:rPr>
                <w:sz w:val="20"/>
                <w:szCs w:val="20"/>
                <w:lang w:val="en-US"/>
              </w:rPr>
            </w:pPr>
          </w:p>
          <w:p w:rsidR="00B17E1F" w:rsidRPr="00627AB2" w:rsidRDefault="00076917" w:rsidP="00B17E1F">
            <w:pPr>
              <w:rPr>
                <w:sz w:val="20"/>
                <w:szCs w:val="20"/>
                <w:lang w:val="en-US"/>
              </w:rPr>
            </w:pPr>
            <w:hyperlink r:id="rId15" w:history="1">
              <w:r w:rsidR="00B17E1F" w:rsidRPr="00627AB2">
                <w:rPr>
                  <w:rStyle w:val="Collegamentoipertestuale"/>
                  <w:sz w:val="20"/>
                  <w:szCs w:val="20"/>
                  <w:lang w:val="en-US"/>
                </w:rPr>
                <w:t>http://www.minedu.fi/export/sites/default/OPM/Julkaisut/2011/liitteet/tr16.pdf?lang=fi</w:t>
              </w:r>
            </w:hyperlink>
          </w:p>
          <w:p w:rsidR="00B17E1F" w:rsidRDefault="00076917" w:rsidP="00B17E1F">
            <w:pPr>
              <w:rPr>
                <w:lang w:val="en-US"/>
              </w:rPr>
            </w:pPr>
            <w:hyperlink r:id="rId16" w:history="1">
              <w:r w:rsidR="00B17E1F" w:rsidRPr="00627AB2">
                <w:rPr>
                  <w:rStyle w:val="Collegamentoipertestuale"/>
                  <w:sz w:val="20"/>
                  <w:szCs w:val="20"/>
                  <w:lang w:val="en-US"/>
                </w:rPr>
                <w:t>http://www.oph.fi/download/110071_Education_training_and_demand_for_labour_in_Finland_by_2020.pdf</w:t>
              </w:r>
            </w:hyperlink>
          </w:p>
        </w:tc>
      </w:tr>
    </w:tbl>
    <w:p w:rsidR="00903630" w:rsidRDefault="00903630" w:rsidP="00BF73A4">
      <w:pPr>
        <w:rPr>
          <w:lang w:val="en-US"/>
        </w:rPr>
      </w:pPr>
    </w:p>
    <w:p w:rsidR="00EE0144" w:rsidRDefault="00EE0144">
      <w:pPr>
        <w:rPr>
          <w:b/>
          <w:lang w:val="en-US"/>
        </w:rPr>
      </w:pPr>
    </w:p>
    <w:p w:rsidR="00150F23" w:rsidRDefault="00150F23" w:rsidP="00BF73A4">
      <w:pPr>
        <w:rPr>
          <w:lang w:val="en-US"/>
        </w:rPr>
      </w:pPr>
      <w:r w:rsidRPr="00903630">
        <w:rPr>
          <w:b/>
          <w:lang w:val="en-US"/>
        </w:rPr>
        <w:t>CONTROL AND CONTINOUS IMPROVEMENT OF THE HWF PLANNING PROCESS</w:t>
      </w:r>
      <w:r w:rsidR="00903630">
        <w:rPr>
          <w:lang w:val="en-US"/>
        </w:rPr>
        <w:t xml:space="preserve"> (Deming cycle: Plan, Do, Check, Act</w:t>
      </w:r>
      <w:r w:rsidRPr="00150F23">
        <w:rPr>
          <w:lang w:val="en-US"/>
        </w:rPr>
        <w:t>)</w:t>
      </w:r>
    </w:p>
    <w:tbl>
      <w:tblPr>
        <w:tblStyle w:val="Grigliatabella"/>
        <w:tblW w:w="0" w:type="auto"/>
        <w:tblLook w:val="04A0"/>
      </w:tblPr>
      <w:tblGrid>
        <w:gridCol w:w="3748"/>
        <w:gridCol w:w="5584"/>
        <w:gridCol w:w="5171"/>
      </w:tblGrid>
      <w:tr w:rsidR="00903630" w:rsidTr="00627AB2">
        <w:tc>
          <w:tcPr>
            <w:tcW w:w="3748" w:type="dxa"/>
          </w:tcPr>
          <w:p w:rsidR="00903630" w:rsidRPr="00130DEA" w:rsidRDefault="00903630" w:rsidP="007F6F1F">
            <w:pPr>
              <w:rPr>
                <w:b/>
                <w:lang w:val="en-US"/>
              </w:rPr>
            </w:pPr>
            <w:r>
              <w:rPr>
                <w:b/>
                <w:sz w:val="24"/>
                <w:lang w:val="en-US"/>
              </w:rPr>
              <w:t>Main aspects</w:t>
            </w:r>
          </w:p>
        </w:tc>
        <w:tc>
          <w:tcPr>
            <w:tcW w:w="5584" w:type="dxa"/>
          </w:tcPr>
          <w:p w:rsidR="00903630" w:rsidRDefault="00903630" w:rsidP="007F6F1F">
            <w:pPr>
              <w:jc w:val="center"/>
              <w:rPr>
                <w:lang w:val="en-US"/>
              </w:rPr>
            </w:pPr>
            <w:r>
              <w:rPr>
                <w:lang w:val="en-US"/>
              </w:rPr>
              <w:t>Description / Examples</w:t>
            </w:r>
          </w:p>
        </w:tc>
        <w:tc>
          <w:tcPr>
            <w:tcW w:w="5171" w:type="dxa"/>
          </w:tcPr>
          <w:p w:rsidR="00903630" w:rsidRDefault="00903630" w:rsidP="007F6F1F">
            <w:pPr>
              <w:jc w:val="center"/>
              <w:rPr>
                <w:lang w:val="en-US"/>
              </w:rPr>
            </w:pPr>
            <w:r>
              <w:rPr>
                <w:lang w:val="en-US"/>
              </w:rPr>
              <w:t>Documents</w:t>
            </w:r>
          </w:p>
        </w:tc>
      </w:tr>
      <w:tr w:rsidR="00E072AB" w:rsidRPr="009A23DD" w:rsidTr="00627AB2">
        <w:trPr>
          <w:trHeight w:val="765"/>
        </w:trPr>
        <w:tc>
          <w:tcPr>
            <w:tcW w:w="3748" w:type="dxa"/>
          </w:tcPr>
          <w:p w:rsidR="00E072AB" w:rsidRPr="00903630" w:rsidRDefault="00E072AB" w:rsidP="00903630">
            <w:pPr>
              <w:rPr>
                <w:u w:val="single"/>
                <w:lang w:val="en-US"/>
              </w:rPr>
            </w:pPr>
            <w:r w:rsidRPr="00903630">
              <w:rPr>
                <w:u w:val="single"/>
                <w:lang w:val="en-US"/>
              </w:rPr>
              <w:t>Plan</w:t>
            </w:r>
          </w:p>
          <w:p w:rsidR="00E072AB" w:rsidRPr="004E3639" w:rsidRDefault="00E072AB" w:rsidP="00903630">
            <w:pPr>
              <w:rPr>
                <w:lang w:val="en-GB"/>
              </w:rPr>
            </w:pPr>
            <w:r>
              <w:rPr>
                <w:lang w:val="en-GB"/>
              </w:rPr>
              <w:t xml:space="preserve">Which “objects” are </w:t>
            </w:r>
            <w:r w:rsidRPr="004E3639">
              <w:rPr>
                <w:lang w:val="en-GB"/>
              </w:rPr>
              <w:t>taking into account</w:t>
            </w:r>
            <w:r>
              <w:rPr>
                <w:lang w:val="en-GB"/>
              </w:rPr>
              <w:t xml:space="preserve"> in the planning?</w:t>
            </w:r>
          </w:p>
          <w:p w:rsidR="00E072AB" w:rsidRDefault="00E072AB" w:rsidP="00903630">
            <w:pPr>
              <w:pStyle w:val="Paragrafoelenco"/>
              <w:numPr>
                <w:ilvl w:val="0"/>
                <w:numId w:val="15"/>
              </w:numPr>
              <w:spacing w:line="240" w:lineRule="auto"/>
              <w:jc w:val="left"/>
              <w:rPr>
                <w:lang w:val="en-GB"/>
              </w:rPr>
            </w:pPr>
            <w:r>
              <w:rPr>
                <w:lang w:val="en-GB"/>
              </w:rPr>
              <w:t xml:space="preserve">Skills needed. </w:t>
            </w:r>
          </w:p>
          <w:p w:rsidR="00E072AB" w:rsidRDefault="00E072AB" w:rsidP="00903630">
            <w:pPr>
              <w:pStyle w:val="Paragrafoelenco"/>
              <w:numPr>
                <w:ilvl w:val="0"/>
                <w:numId w:val="15"/>
              </w:numPr>
              <w:spacing w:line="240" w:lineRule="auto"/>
              <w:jc w:val="left"/>
              <w:rPr>
                <w:lang w:val="en-GB"/>
              </w:rPr>
            </w:pPr>
            <w:r>
              <w:rPr>
                <w:lang w:val="en-GB"/>
              </w:rPr>
              <w:t>Future professional mix.</w:t>
            </w:r>
          </w:p>
          <w:p w:rsidR="00E072AB" w:rsidRDefault="00E072AB" w:rsidP="00903630">
            <w:pPr>
              <w:pStyle w:val="Paragrafoelenco"/>
              <w:numPr>
                <w:ilvl w:val="0"/>
                <w:numId w:val="15"/>
              </w:numPr>
              <w:spacing w:line="240" w:lineRule="auto"/>
              <w:jc w:val="left"/>
              <w:rPr>
                <w:lang w:val="en-GB"/>
              </w:rPr>
            </w:pPr>
            <w:r>
              <w:rPr>
                <w:lang w:val="en-GB"/>
              </w:rPr>
              <w:t>Quantity of professionals.</w:t>
            </w:r>
          </w:p>
          <w:p w:rsidR="00E072AB" w:rsidRDefault="00E072AB" w:rsidP="00903630">
            <w:pPr>
              <w:pStyle w:val="Paragrafoelenco"/>
              <w:numPr>
                <w:ilvl w:val="0"/>
                <w:numId w:val="15"/>
              </w:numPr>
              <w:spacing w:line="240" w:lineRule="auto"/>
              <w:jc w:val="left"/>
              <w:rPr>
                <w:lang w:val="en-GB"/>
              </w:rPr>
            </w:pPr>
            <w:r>
              <w:rPr>
                <w:lang w:val="en-GB"/>
              </w:rPr>
              <w:t>Future</w:t>
            </w:r>
            <w:r w:rsidRPr="00903630">
              <w:rPr>
                <w:lang w:val="en-GB"/>
              </w:rPr>
              <w:t xml:space="preserve"> working conditions</w:t>
            </w:r>
            <w:r>
              <w:rPr>
                <w:lang w:val="en-GB"/>
              </w:rPr>
              <w:t>.</w:t>
            </w:r>
          </w:p>
          <w:p w:rsidR="00E072AB" w:rsidRDefault="00E072AB" w:rsidP="00903630">
            <w:pPr>
              <w:pStyle w:val="Paragrafoelenco"/>
              <w:numPr>
                <w:ilvl w:val="0"/>
                <w:numId w:val="15"/>
              </w:numPr>
              <w:spacing w:line="240" w:lineRule="auto"/>
              <w:jc w:val="left"/>
              <w:rPr>
                <w:lang w:val="en-GB"/>
              </w:rPr>
            </w:pPr>
            <w:r>
              <w:rPr>
                <w:lang w:val="en-GB"/>
              </w:rPr>
              <w:t xml:space="preserve">Futurenecessary </w:t>
            </w:r>
            <w:r w:rsidRPr="00903630">
              <w:rPr>
                <w:lang w:val="en-GB"/>
              </w:rPr>
              <w:t>changes in training</w:t>
            </w:r>
            <w:r>
              <w:rPr>
                <w:lang w:val="en-GB"/>
              </w:rPr>
              <w:t>.</w:t>
            </w:r>
          </w:p>
          <w:p w:rsidR="00E072AB" w:rsidRDefault="00E072AB" w:rsidP="00903630">
            <w:pPr>
              <w:pStyle w:val="Paragrafoelenco"/>
              <w:spacing w:line="240" w:lineRule="auto"/>
              <w:ind w:left="360"/>
              <w:jc w:val="left"/>
              <w:rPr>
                <w:lang w:val="en-GB"/>
              </w:rPr>
            </w:pPr>
          </w:p>
          <w:p w:rsidR="00E072AB" w:rsidRDefault="00E072AB" w:rsidP="00903630">
            <w:pPr>
              <w:rPr>
                <w:lang w:val="en-GB"/>
              </w:rPr>
            </w:pPr>
          </w:p>
          <w:p w:rsidR="00E072AB" w:rsidRDefault="00E072AB" w:rsidP="00903630">
            <w:pPr>
              <w:rPr>
                <w:lang w:val="en-GB"/>
              </w:rPr>
            </w:pPr>
          </w:p>
          <w:p w:rsidR="00E072AB" w:rsidRPr="00AF3AEB" w:rsidRDefault="00E072AB" w:rsidP="00AF3AEB">
            <w:pPr>
              <w:rPr>
                <w:lang w:val="en-US"/>
              </w:rPr>
            </w:pPr>
          </w:p>
        </w:tc>
        <w:tc>
          <w:tcPr>
            <w:tcW w:w="5584" w:type="dxa"/>
          </w:tcPr>
          <w:p w:rsidR="00882062" w:rsidRPr="00627AB2" w:rsidRDefault="00882062" w:rsidP="00882062">
            <w:pPr>
              <w:rPr>
                <w:color w:val="0070C0"/>
                <w:sz w:val="20"/>
                <w:szCs w:val="20"/>
                <w:lang w:val="en-US"/>
              </w:rPr>
            </w:pPr>
            <w:r w:rsidRPr="00627AB2">
              <w:rPr>
                <w:color w:val="0070C0"/>
                <w:sz w:val="20"/>
                <w:szCs w:val="20"/>
                <w:lang w:val="en-US"/>
              </w:rPr>
              <w:t>1-2, 4: A national development plan for social and health care services which is adopted by the Government every four years defines the development objectives for municipal social and health care services and main measures to achieve them. This plan defines also measures to ensure the sufficiency and skills of the personnel, retention policy issues, redistribution of professional responsibilities and well-being at work in social and health care.</w:t>
            </w:r>
          </w:p>
          <w:p w:rsidR="00882062" w:rsidRPr="00627AB2" w:rsidRDefault="00882062" w:rsidP="00E072AB">
            <w:pPr>
              <w:rPr>
                <w:color w:val="0070C0"/>
                <w:sz w:val="20"/>
                <w:szCs w:val="20"/>
                <w:lang w:val="en-US"/>
              </w:rPr>
            </w:pPr>
          </w:p>
          <w:p w:rsidR="00E072AB" w:rsidRPr="00EE0144" w:rsidRDefault="00882062" w:rsidP="00E072AB">
            <w:pPr>
              <w:rPr>
                <w:sz w:val="20"/>
                <w:szCs w:val="20"/>
                <w:lang w:val="en-US"/>
              </w:rPr>
            </w:pPr>
            <w:r w:rsidRPr="00627AB2">
              <w:rPr>
                <w:color w:val="0070C0"/>
                <w:sz w:val="20"/>
                <w:szCs w:val="20"/>
                <w:lang w:val="en-US"/>
              </w:rPr>
              <w:t xml:space="preserve">3, 5: In addition to the previously mentioned </w:t>
            </w:r>
            <w:r w:rsidRPr="009A23DD">
              <w:rPr>
                <w:bCs/>
                <w:color w:val="0070C0"/>
                <w:sz w:val="20"/>
                <w:szCs w:val="20"/>
                <w:lang w:val="en-US" w:eastAsia="en-US"/>
              </w:rPr>
              <w:t xml:space="preserve">development plan of education and university </w:t>
            </w:r>
            <w:proofErr w:type="spellStart"/>
            <w:r w:rsidRPr="009A23DD">
              <w:rPr>
                <w:bCs/>
                <w:color w:val="0070C0"/>
                <w:sz w:val="20"/>
                <w:szCs w:val="20"/>
                <w:lang w:val="en-US" w:eastAsia="en-US"/>
              </w:rPr>
              <w:t>reaseach</w:t>
            </w:r>
            <w:proofErr w:type="spellEnd"/>
            <w:r w:rsidRPr="009A23DD">
              <w:rPr>
                <w:bCs/>
                <w:color w:val="000000"/>
                <w:sz w:val="20"/>
                <w:szCs w:val="20"/>
                <w:lang w:val="en-US" w:eastAsia="en-US"/>
              </w:rPr>
              <w:t>, t</w:t>
            </w:r>
            <w:r w:rsidR="00E072AB" w:rsidRPr="00EE0144">
              <w:rPr>
                <w:sz w:val="20"/>
                <w:szCs w:val="20"/>
                <w:lang w:val="en-US"/>
              </w:rPr>
              <w:t>he National Institute for Health and Welfare (THL) follows workforce development on yearly base both on the municipality sector (Public Health Care) as well as health care total (public and private sectors) and health care professionals´ emigration and immigration from/to Finland. The reports are published yearly on web site of the National Institute for Health and Welfare (www.thl.fi).</w:t>
            </w:r>
          </w:p>
          <w:p w:rsidR="00E072AB" w:rsidRPr="00EE0144" w:rsidRDefault="00E072AB" w:rsidP="00E072AB">
            <w:pPr>
              <w:rPr>
                <w:sz w:val="20"/>
                <w:szCs w:val="20"/>
                <w:lang w:val="en-US"/>
              </w:rPr>
            </w:pPr>
          </w:p>
          <w:p w:rsidR="00E072AB" w:rsidRPr="00EE0144" w:rsidRDefault="00E072AB" w:rsidP="00E072AB">
            <w:pPr>
              <w:rPr>
                <w:sz w:val="20"/>
                <w:szCs w:val="20"/>
                <w:lang w:val="en-US"/>
              </w:rPr>
            </w:pPr>
            <w:r w:rsidRPr="00EE0144">
              <w:rPr>
                <w:sz w:val="20"/>
                <w:szCs w:val="20"/>
                <w:lang w:val="en-US"/>
              </w:rPr>
              <w:t xml:space="preserve">The Finnish Medical Association and the Finnish Dental Association together with </w:t>
            </w:r>
            <w:r w:rsidR="00BB7041">
              <w:rPr>
                <w:sz w:val="20"/>
                <w:szCs w:val="20"/>
                <w:lang w:val="en-US"/>
              </w:rPr>
              <w:t>KT</w:t>
            </w:r>
            <w:r w:rsidRPr="00EE0144">
              <w:rPr>
                <w:sz w:val="20"/>
                <w:szCs w:val="20"/>
                <w:lang w:val="en-US"/>
              </w:rPr>
              <w:t xml:space="preserve"> collect information on physician and dentist shortages in municipal health </w:t>
            </w:r>
            <w:proofErr w:type="spellStart"/>
            <w:r w:rsidRPr="00EE0144">
              <w:rPr>
                <w:sz w:val="20"/>
                <w:szCs w:val="20"/>
                <w:lang w:val="en-US"/>
              </w:rPr>
              <w:t>centres</w:t>
            </w:r>
            <w:proofErr w:type="spellEnd"/>
            <w:r w:rsidRPr="00EE0144">
              <w:rPr>
                <w:sz w:val="20"/>
                <w:szCs w:val="20"/>
                <w:lang w:val="en-US"/>
              </w:rPr>
              <w:t xml:space="preserve">. </w:t>
            </w:r>
            <w:r w:rsidR="00BB7041">
              <w:rPr>
                <w:sz w:val="20"/>
                <w:szCs w:val="20"/>
                <w:lang w:val="en-US"/>
              </w:rPr>
              <w:t>KT</w:t>
            </w:r>
            <w:r w:rsidRPr="00EE0144">
              <w:rPr>
                <w:sz w:val="20"/>
                <w:szCs w:val="20"/>
                <w:lang w:val="en-US"/>
              </w:rPr>
              <w:t xml:space="preserve"> studies also the shortages of the medical specialists in hospitals. </w:t>
            </w:r>
            <w:r w:rsidR="00BB7041">
              <w:rPr>
                <w:sz w:val="20"/>
                <w:szCs w:val="20"/>
                <w:lang w:val="en-US"/>
              </w:rPr>
              <w:t>KT</w:t>
            </w:r>
            <w:r w:rsidRPr="00EE0144">
              <w:rPr>
                <w:sz w:val="20"/>
                <w:szCs w:val="20"/>
                <w:lang w:val="en-US"/>
              </w:rPr>
              <w:t xml:space="preserve"> makes assessments every two or three years also on the shortages of other professional and vocational groups in municipal social and health care. These assessments on s</w:t>
            </w:r>
            <w:r w:rsidR="00627AB2">
              <w:rPr>
                <w:sz w:val="20"/>
                <w:szCs w:val="20"/>
                <w:lang w:val="en-US"/>
              </w:rPr>
              <w:t>h</w:t>
            </w:r>
            <w:r w:rsidRPr="00EE0144">
              <w:rPr>
                <w:sz w:val="20"/>
                <w:szCs w:val="20"/>
                <w:lang w:val="en-US"/>
              </w:rPr>
              <w:t xml:space="preserve">ortages are carried out in collaboration with the </w:t>
            </w:r>
            <w:proofErr w:type="spellStart"/>
            <w:r w:rsidR="00627AB2">
              <w:rPr>
                <w:sz w:val="20"/>
                <w:szCs w:val="20"/>
                <w:lang w:val="en-US"/>
              </w:rPr>
              <w:t>MoSocH</w:t>
            </w:r>
            <w:proofErr w:type="spellEnd"/>
            <w:r w:rsidRPr="00EE0144">
              <w:rPr>
                <w:sz w:val="20"/>
                <w:szCs w:val="20"/>
                <w:lang w:val="en-US"/>
              </w:rPr>
              <w:t xml:space="preserve">.  </w:t>
            </w:r>
          </w:p>
          <w:p w:rsidR="00E072AB" w:rsidRPr="00EE0144" w:rsidRDefault="00E072AB" w:rsidP="00E072AB">
            <w:pPr>
              <w:rPr>
                <w:sz w:val="20"/>
                <w:szCs w:val="20"/>
                <w:lang w:val="en-US"/>
              </w:rPr>
            </w:pPr>
          </w:p>
          <w:p w:rsidR="00EE0144" w:rsidRPr="00882062" w:rsidRDefault="00E072AB" w:rsidP="00627AB2">
            <w:pPr>
              <w:rPr>
                <w:sz w:val="20"/>
                <w:szCs w:val="20"/>
                <w:lang w:val="en-US"/>
              </w:rPr>
            </w:pPr>
            <w:r w:rsidRPr="00EE0144">
              <w:rPr>
                <w:sz w:val="20"/>
                <w:szCs w:val="20"/>
                <w:lang w:val="en-US"/>
              </w:rPr>
              <w:t xml:space="preserve">According to the Act on social and health review (879/2002), the </w:t>
            </w:r>
            <w:proofErr w:type="spellStart"/>
            <w:r w:rsidRPr="00EE0144">
              <w:rPr>
                <w:sz w:val="20"/>
                <w:szCs w:val="20"/>
                <w:lang w:val="en-US"/>
              </w:rPr>
              <w:t>M</w:t>
            </w:r>
            <w:r w:rsidR="00627AB2">
              <w:rPr>
                <w:sz w:val="20"/>
                <w:szCs w:val="20"/>
                <w:lang w:val="en-US"/>
              </w:rPr>
              <w:t>o</w:t>
            </w:r>
            <w:r w:rsidRPr="00EE0144">
              <w:rPr>
                <w:sz w:val="20"/>
                <w:szCs w:val="20"/>
                <w:lang w:val="en-US"/>
              </w:rPr>
              <w:t>SocH</w:t>
            </w:r>
            <w:proofErr w:type="spellEnd"/>
            <w:r w:rsidRPr="00EE0144">
              <w:rPr>
                <w:sz w:val="20"/>
                <w:szCs w:val="20"/>
                <w:lang w:val="en-US"/>
              </w:rPr>
              <w:t xml:space="preserve"> gives every four years a report regarding the population’s state of welfare and health and the measures adopted to improve these. The review constitutes supplementary material to the Government Report to the Parliament. The report includes also descriptions and assessments on the sufficiency of </w:t>
            </w:r>
            <w:r w:rsidRPr="00EE0144">
              <w:rPr>
                <w:sz w:val="20"/>
                <w:szCs w:val="20"/>
                <w:lang w:val="en-US"/>
              </w:rPr>
              <w:lastRenderedPageBreak/>
              <w:t>the workforce in social and health care as well as on related changes and measures.(source: OECD Study)</w:t>
            </w:r>
          </w:p>
        </w:tc>
        <w:tc>
          <w:tcPr>
            <w:tcW w:w="5171" w:type="dxa"/>
            <w:vMerge w:val="restart"/>
          </w:tcPr>
          <w:p w:rsidR="00E072AB" w:rsidRDefault="00EE0144" w:rsidP="00EE0144">
            <w:pPr>
              <w:rPr>
                <w:color w:val="4F81BD" w:themeColor="accent1"/>
                <w:sz w:val="20"/>
                <w:szCs w:val="20"/>
                <w:lang w:val="en-US"/>
              </w:rPr>
            </w:pPr>
            <w:proofErr w:type="spellStart"/>
            <w:r w:rsidRPr="00EE0144">
              <w:rPr>
                <w:color w:val="4F81BD" w:themeColor="accent1"/>
                <w:sz w:val="20"/>
                <w:szCs w:val="20"/>
                <w:lang w:val="en-US"/>
              </w:rPr>
              <w:lastRenderedPageBreak/>
              <w:t>Pls</w:t>
            </w:r>
            <w:proofErr w:type="spellEnd"/>
            <w:r w:rsidRPr="00EE0144">
              <w:rPr>
                <w:color w:val="4F81BD" w:themeColor="accent1"/>
                <w:sz w:val="20"/>
                <w:szCs w:val="20"/>
                <w:lang w:val="en-US"/>
              </w:rPr>
              <w:t xml:space="preserve"> see above the qualitative anticipation part of FNBE model</w:t>
            </w:r>
          </w:p>
          <w:p w:rsidR="00EE0144" w:rsidRPr="00EE0144" w:rsidRDefault="00EE0144" w:rsidP="00EE0144">
            <w:pPr>
              <w:rPr>
                <w:color w:val="4F81BD" w:themeColor="accent1"/>
                <w:sz w:val="20"/>
                <w:szCs w:val="20"/>
                <w:lang w:val="en-US"/>
              </w:rPr>
            </w:pPr>
          </w:p>
          <w:p w:rsidR="00EE0144" w:rsidRPr="00EE0144" w:rsidRDefault="00EE0144" w:rsidP="00EE0144">
            <w:pPr>
              <w:rPr>
                <w:color w:val="4F81BD" w:themeColor="accent1"/>
                <w:sz w:val="20"/>
                <w:szCs w:val="20"/>
                <w:lang w:val="en-US"/>
              </w:rPr>
            </w:pPr>
            <w:r w:rsidRPr="00EE0144">
              <w:rPr>
                <w:color w:val="4F81BD" w:themeColor="accent1"/>
                <w:sz w:val="20"/>
                <w:szCs w:val="20"/>
                <w:lang w:val="en-US"/>
              </w:rPr>
              <w:t>f</w:t>
            </w:r>
            <w:r>
              <w:rPr>
                <w:color w:val="4F81BD" w:themeColor="accent1"/>
                <w:sz w:val="20"/>
                <w:szCs w:val="20"/>
                <w:lang w:val="en-US"/>
              </w:rPr>
              <w:t>or</w:t>
            </w:r>
            <w:r w:rsidRPr="00EE0144">
              <w:rPr>
                <w:color w:val="4F81BD" w:themeColor="accent1"/>
                <w:sz w:val="20"/>
                <w:szCs w:val="20"/>
                <w:lang w:val="en-US"/>
              </w:rPr>
              <w:t xml:space="preserve"> monitoring: </w:t>
            </w:r>
          </w:p>
          <w:p w:rsidR="00EE0144" w:rsidRDefault="00076917" w:rsidP="00EE0144">
            <w:pPr>
              <w:rPr>
                <w:color w:val="4F81BD" w:themeColor="accent1"/>
                <w:sz w:val="20"/>
                <w:szCs w:val="20"/>
                <w:lang w:val="en-US"/>
              </w:rPr>
            </w:pPr>
            <w:hyperlink r:id="rId17" w:history="1">
              <w:r w:rsidR="00EE0144" w:rsidRPr="00FE3539">
                <w:rPr>
                  <w:rStyle w:val="Collegamentoipertestuale"/>
                  <w:sz w:val="20"/>
                  <w:szCs w:val="20"/>
                  <w:lang w:val="en-US"/>
                </w:rPr>
                <w:t>http://www.thl.fi/en_US/web/en/statistics/topics/finances</w:t>
              </w:r>
            </w:hyperlink>
          </w:p>
          <w:p w:rsidR="00EE0144" w:rsidRPr="00EE0144" w:rsidRDefault="00EE0144" w:rsidP="00EE0144">
            <w:pPr>
              <w:rPr>
                <w:color w:val="4F81BD" w:themeColor="accent1"/>
                <w:sz w:val="20"/>
                <w:szCs w:val="20"/>
                <w:lang w:val="en-US"/>
              </w:rPr>
            </w:pPr>
          </w:p>
        </w:tc>
      </w:tr>
      <w:tr w:rsidR="00E072AB" w:rsidTr="00627AB2">
        <w:trPr>
          <w:trHeight w:val="2760"/>
        </w:trPr>
        <w:tc>
          <w:tcPr>
            <w:tcW w:w="3748" w:type="dxa"/>
          </w:tcPr>
          <w:p w:rsidR="00E072AB" w:rsidRPr="00EE0144" w:rsidRDefault="00E072AB" w:rsidP="00903630">
            <w:pPr>
              <w:rPr>
                <w:rFonts w:cstheme="minorHAnsi"/>
                <w:sz w:val="20"/>
                <w:szCs w:val="20"/>
                <w:lang w:val="en-GB"/>
              </w:rPr>
            </w:pPr>
          </w:p>
          <w:p w:rsidR="00E072AB" w:rsidRPr="00EE0144" w:rsidRDefault="00E072AB" w:rsidP="00EE0144">
            <w:pPr>
              <w:rPr>
                <w:rFonts w:ascii="Times New Roman" w:hAnsi="Times New Roman" w:cs="Times New Roman"/>
                <w:lang w:val="en-GB"/>
              </w:rPr>
            </w:pPr>
            <w:r w:rsidRPr="00EE0144">
              <w:rPr>
                <w:rFonts w:ascii="Times New Roman" w:hAnsi="Times New Roman" w:cs="Times New Roman"/>
                <w:lang w:val="en-GB"/>
              </w:rPr>
              <w:t xml:space="preserve">Which are levers and actions that planners can  manage to reach the goals? </w:t>
            </w:r>
          </w:p>
          <w:p w:rsidR="00E072AB" w:rsidRPr="00EE0144" w:rsidRDefault="00E072AB" w:rsidP="00EE0144">
            <w:pPr>
              <w:pStyle w:val="Paragrafoelenco"/>
              <w:numPr>
                <w:ilvl w:val="0"/>
                <w:numId w:val="16"/>
              </w:numPr>
              <w:spacing w:line="240" w:lineRule="auto"/>
              <w:jc w:val="left"/>
              <w:rPr>
                <w:rFonts w:cs="Times New Roman"/>
                <w:sz w:val="22"/>
                <w:lang w:val="en-GB"/>
              </w:rPr>
            </w:pPr>
            <w:r w:rsidRPr="00EE0144">
              <w:rPr>
                <w:rFonts w:cs="Times New Roman"/>
                <w:sz w:val="22"/>
                <w:lang w:val="en-GB"/>
              </w:rPr>
              <w:t>barriers to university (basic degree);</w:t>
            </w:r>
          </w:p>
          <w:p w:rsidR="00E072AB" w:rsidRPr="00EE0144" w:rsidRDefault="00E072AB" w:rsidP="00EE0144">
            <w:pPr>
              <w:pStyle w:val="Paragrafoelenco"/>
              <w:numPr>
                <w:ilvl w:val="0"/>
                <w:numId w:val="16"/>
              </w:numPr>
              <w:spacing w:line="240" w:lineRule="auto"/>
              <w:jc w:val="left"/>
              <w:rPr>
                <w:rFonts w:cs="Times New Roman"/>
                <w:sz w:val="22"/>
                <w:lang w:val="en-GB"/>
              </w:rPr>
            </w:pPr>
            <w:r w:rsidRPr="00EE0144">
              <w:rPr>
                <w:rFonts w:cs="Times New Roman"/>
                <w:sz w:val="22"/>
                <w:lang w:val="en-GB"/>
              </w:rPr>
              <w:t>barriers to specialization;</w:t>
            </w:r>
          </w:p>
          <w:p w:rsidR="00E072AB" w:rsidRPr="00EE0144" w:rsidRDefault="00E072AB" w:rsidP="00EE0144">
            <w:pPr>
              <w:pStyle w:val="Paragrafoelenco"/>
              <w:numPr>
                <w:ilvl w:val="0"/>
                <w:numId w:val="16"/>
              </w:numPr>
              <w:spacing w:line="240" w:lineRule="auto"/>
              <w:jc w:val="left"/>
              <w:rPr>
                <w:rFonts w:cs="Times New Roman"/>
                <w:sz w:val="22"/>
                <w:lang w:val="en-GB"/>
              </w:rPr>
            </w:pPr>
            <w:r w:rsidRPr="00EE0144">
              <w:rPr>
                <w:rFonts w:cs="Times New Roman"/>
                <w:sz w:val="22"/>
                <w:lang w:val="en-GB"/>
              </w:rPr>
              <w:t>barriers to and/or specific authorizations to work;</w:t>
            </w:r>
          </w:p>
          <w:p w:rsidR="00E072AB" w:rsidRPr="00EE0144" w:rsidRDefault="00E072AB" w:rsidP="00EE0144">
            <w:pPr>
              <w:pStyle w:val="Paragrafoelenco"/>
              <w:numPr>
                <w:ilvl w:val="0"/>
                <w:numId w:val="16"/>
              </w:numPr>
              <w:spacing w:line="240" w:lineRule="auto"/>
              <w:jc w:val="left"/>
              <w:rPr>
                <w:rFonts w:cs="Times New Roman"/>
                <w:sz w:val="22"/>
                <w:lang w:val="en-GB"/>
              </w:rPr>
            </w:pPr>
            <w:r w:rsidRPr="00EE0144">
              <w:rPr>
                <w:rFonts w:cs="Times New Roman"/>
                <w:sz w:val="22"/>
                <w:lang w:val="en-GB"/>
              </w:rPr>
              <w:t>other levers or actions.</w:t>
            </w:r>
          </w:p>
          <w:p w:rsidR="00E072AB" w:rsidRPr="00EE0144" w:rsidRDefault="00E072AB" w:rsidP="00AF3AEB">
            <w:pPr>
              <w:rPr>
                <w:rFonts w:cstheme="minorHAnsi"/>
                <w:sz w:val="20"/>
                <w:szCs w:val="20"/>
                <w:u w:val="single"/>
                <w:lang w:val="en-US"/>
              </w:rPr>
            </w:pPr>
          </w:p>
        </w:tc>
        <w:tc>
          <w:tcPr>
            <w:tcW w:w="5584" w:type="dxa"/>
          </w:tcPr>
          <w:p w:rsidR="00E072AB" w:rsidRDefault="00E072AB" w:rsidP="007F6F1F">
            <w:pPr>
              <w:rPr>
                <w:lang w:val="en-US"/>
              </w:rPr>
            </w:pPr>
          </w:p>
          <w:p w:rsidR="00E072AB" w:rsidRPr="00EE0144" w:rsidRDefault="00E072AB" w:rsidP="001D1C1B">
            <w:pPr>
              <w:rPr>
                <w:lang w:val="en-US"/>
              </w:rPr>
            </w:pPr>
            <w:r w:rsidRPr="00EE0144">
              <w:rPr>
                <w:lang w:val="en-US"/>
              </w:rPr>
              <w:t xml:space="preserve">Training quota: </w:t>
            </w:r>
          </w:p>
          <w:p w:rsidR="00E072AB" w:rsidRDefault="00E072AB" w:rsidP="001D1C1B">
            <w:pPr>
              <w:pStyle w:val="Default"/>
              <w:rPr>
                <w:rFonts w:asciiTheme="minorHAnsi" w:hAnsiTheme="minorHAnsi"/>
                <w:sz w:val="20"/>
                <w:szCs w:val="20"/>
                <w:lang w:val="en-US"/>
              </w:rPr>
            </w:pPr>
            <w:r w:rsidRPr="00EE0144">
              <w:rPr>
                <w:rFonts w:asciiTheme="minorHAnsi" w:hAnsiTheme="minorHAnsi"/>
                <w:sz w:val="20"/>
                <w:szCs w:val="20"/>
                <w:lang w:val="en-US"/>
              </w:rPr>
              <w:t>Over 700 students are accepted to medical education every year. Around 150 students are accepted to dentist’s education and 2400 students to nurse’s education. (Source: Matrix’s Feasibility Study).</w:t>
            </w:r>
          </w:p>
          <w:p w:rsidR="009A23DD" w:rsidRPr="00EE0144" w:rsidRDefault="009A23DD" w:rsidP="001D1C1B">
            <w:pPr>
              <w:pStyle w:val="Default"/>
              <w:rPr>
                <w:rFonts w:asciiTheme="minorHAnsi" w:hAnsiTheme="minorHAnsi"/>
                <w:sz w:val="22"/>
                <w:szCs w:val="22"/>
                <w:lang w:val="en-US"/>
              </w:rPr>
            </w:pPr>
          </w:p>
          <w:p w:rsidR="00E072AB" w:rsidRPr="00EE0144" w:rsidRDefault="00E072AB" w:rsidP="001D1C1B">
            <w:pPr>
              <w:pStyle w:val="Default"/>
              <w:rPr>
                <w:rFonts w:asciiTheme="minorHAnsi" w:hAnsiTheme="minorHAnsi"/>
                <w:sz w:val="22"/>
                <w:szCs w:val="22"/>
                <w:lang w:val="en-US"/>
              </w:rPr>
            </w:pPr>
            <w:r w:rsidRPr="00EE0144">
              <w:rPr>
                <w:rFonts w:asciiTheme="minorHAnsi" w:hAnsiTheme="minorHAnsi" w:cstheme="minorBidi"/>
                <w:color w:val="auto"/>
                <w:sz w:val="22"/>
                <w:szCs w:val="22"/>
                <w:lang w:val="en-US"/>
              </w:rPr>
              <w:t>Right to practice</w:t>
            </w:r>
            <w:r w:rsidRPr="00EE0144">
              <w:rPr>
                <w:rFonts w:asciiTheme="minorHAnsi" w:hAnsiTheme="minorHAnsi"/>
                <w:sz w:val="22"/>
                <w:szCs w:val="22"/>
                <w:lang w:val="en-US"/>
              </w:rPr>
              <w:t>:</w:t>
            </w:r>
          </w:p>
          <w:p w:rsidR="00085C78" w:rsidRPr="00085C78" w:rsidRDefault="00085C78" w:rsidP="00085C78">
            <w:pPr>
              <w:pStyle w:val="Default"/>
              <w:rPr>
                <w:rFonts w:asciiTheme="minorHAnsi" w:hAnsiTheme="minorHAnsi"/>
                <w:color w:val="0070C0"/>
                <w:sz w:val="20"/>
                <w:szCs w:val="20"/>
                <w:lang w:val="en-US"/>
              </w:rPr>
            </w:pPr>
            <w:r w:rsidRPr="00085C78">
              <w:rPr>
                <w:rFonts w:asciiTheme="minorHAnsi" w:hAnsiTheme="minorHAnsi"/>
                <w:color w:val="0070C0"/>
                <w:sz w:val="20"/>
                <w:szCs w:val="20"/>
                <w:lang w:val="en-US"/>
              </w:rPr>
              <w:t xml:space="preserve">Licensing is granted to the following professions: physician, dentist, pharmacist, psychologist, speech therapist, dietician, dispenser, nurse, midwife, public health nurse, physiotherapist, medical laboratory technologist, radiographer, dental hygienist, occupational therapist, optician and dental technician (17 titles in total). The practice of these professions is restricted to </w:t>
            </w:r>
            <w:proofErr w:type="spellStart"/>
            <w:r w:rsidRPr="00085C78">
              <w:rPr>
                <w:rFonts w:asciiTheme="minorHAnsi" w:hAnsiTheme="minorHAnsi"/>
                <w:color w:val="0070C0"/>
                <w:sz w:val="20"/>
                <w:szCs w:val="20"/>
                <w:lang w:val="en-US"/>
              </w:rPr>
              <w:t>licenced</w:t>
            </w:r>
            <w:proofErr w:type="spellEnd"/>
            <w:r w:rsidRPr="00085C78">
              <w:rPr>
                <w:rFonts w:asciiTheme="minorHAnsi" w:hAnsiTheme="minorHAnsi"/>
                <w:color w:val="0070C0"/>
                <w:sz w:val="20"/>
                <w:szCs w:val="20"/>
                <w:lang w:val="en-US"/>
              </w:rPr>
              <w:t xml:space="preserve"> professionals only.</w:t>
            </w:r>
          </w:p>
          <w:p w:rsidR="00085C78" w:rsidRPr="00085C78" w:rsidRDefault="00085C78" w:rsidP="00085C78">
            <w:pPr>
              <w:pStyle w:val="Default"/>
              <w:rPr>
                <w:rFonts w:asciiTheme="minorHAnsi" w:hAnsiTheme="minorHAnsi"/>
                <w:sz w:val="20"/>
                <w:szCs w:val="20"/>
                <w:lang w:val="en-US"/>
              </w:rPr>
            </w:pPr>
            <w:r w:rsidRPr="00085C78">
              <w:rPr>
                <w:rFonts w:asciiTheme="minorHAnsi" w:hAnsiTheme="minorHAnsi"/>
                <w:sz w:val="20"/>
                <w:szCs w:val="20"/>
                <w:lang w:val="en-US"/>
              </w:rPr>
              <w:t xml:space="preserve"> </w:t>
            </w:r>
          </w:p>
          <w:p w:rsidR="00BB7041" w:rsidRDefault="00085C78" w:rsidP="00085C78">
            <w:pPr>
              <w:pStyle w:val="Default"/>
              <w:rPr>
                <w:rFonts w:asciiTheme="minorHAnsi" w:hAnsiTheme="minorHAnsi"/>
                <w:sz w:val="20"/>
                <w:szCs w:val="20"/>
                <w:lang w:val="en-US"/>
              </w:rPr>
            </w:pPr>
            <w:r w:rsidRPr="00085C78">
              <w:rPr>
                <w:rFonts w:asciiTheme="minorHAnsi" w:hAnsiTheme="minorHAnsi"/>
                <w:sz w:val="20"/>
                <w:szCs w:val="20"/>
                <w:lang w:val="en-US"/>
              </w:rPr>
              <w:t>Licensing is granted, upon application, by the National Supervisory Authority for Welfare and Health</w:t>
            </w:r>
          </w:p>
          <w:p w:rsidR="00E072AB" w:rsidRPr="00EE0144" w:rsidRDefault="00D70F1D" w:rsidP="001D1C1B">
            <w:pPr>
              <w:pStyle w:val="Default"/>
              <w:rPr>
                <w:rFonts w:asciiTheme="minorHAnsi" w:hAnsiTheme="minorHAnsi"/>
                <w:sz w:val="20"/>
                <w:szCs w:val="20"/>
                <w:lang w:val="en-US"/>
              </w:rPr>
            </w:pPr>
            <w:r>
              <w:rPr>
                <w:rFonts w:asciiTheme="minorHAnsi" w:hAnsiTheme="minorHAnsi"/>
                <w:sz w:val="20"/>
                <w:szCs w:val="20"/>
                <w:lang w:val="en-US"/>
              </w:rPr>
              <w:t>T</w:t>
            </w:r>
            <w:r w:rsidR="00E072AB" w:rsidRPr="00EE0144">
              <w:rPr>
                <w:rFonts w:asciiTheme="minorHAnsi" w:hAnsiTheme="minorHAnsi"/>
                <w:sz w:val="20"/>
                <w:szCs w:val="20"/>
                <w:lang w:val="en-US"/>
              </w:rPr>
              <w:t xml:space="preserve">he National Supervisory Authority for Welfare and Health </w:t>
            </w:r>
            <w:r w:rsidRPr="00D70F1D">
              <w:rPr>
                <w:rFonts w:asciiTheme="minorHAnsi" w:hAnsiTheme="minorHAnsi"/>
                <w:color w:val="0070C0"/>
                <w:sz w:val="20"/>
                <w:szCs w:val="20"/>
                <w:lang w:val="en-US"/>
              </w:rPr>
              <w:t>(Valvira)</w:t>
            </w:r>
            <w:r>
              <w:rPr>
                <w:rFonts w:asciiTheme="minorHAnsi" w:hAnsiTheme="minorHAnsi"/>
                <w:sz w:val="20"/>
                <w:szCs w:val="20"/>
                <w:lang w:val="en-US"/>
              </w:rPr>
              <w:t xml:space="preserve"> </w:t>
            </w:r>
            <w:r w:rsidR="00E072AB" w:rsidRPr="00EE0144">
              <w:rPr>
                <w:rFonts w:asciiTheme="minorHAnsi" w:hAnsiTheme="minorHAnsi"/>
                <w:sz w:val="20"/>
                <w:szCs w:val="20"/>
                <w:lang w:val="en-US"/>
              </w:rPr>
              <w:t>grants an authori</w:t>
            </w:r>
            <w:r w:rsidR="00EE0144" w:rsidRPr="00EE0144">
              <w:rPr>
                <w:rFonts w:asciiTheme="minorHAnsi" w:hAnsiTheme="minorHAnsi"/>
                <w:sz w:val="20"/>
                <w:szCs w:val="20"/>
                <w:lang w:val="en-US"/>
              </w:rPr>
              <w:t>z</w:t>
            </w:r>
            <w:r w:rsidR="00E072AB" w:rsidRPr="00EE0144">
              <w:rPr>
                <w:rFonts w:asciiTheme="minorHAnsi" w:hAnsiTheme="minorHAnsi"/>
                <w:sz w:val="20"/>
                <w:szCs w:val="20"/>
                <w:lang w:val="en-US"/>
              </w:rPr>
              <w:t xml:space="preserve">ation to practice </w:t>
            </w:r>
            <w:r w:rsidR="00E072AB" w:rsidRPr="00BB7041">
              <w:rPr>
                <w:rFonts w:asciiTheme="minorHAnsi" w:hAnsiTheme="minorHAnsi"/>
                <w:color w:val="0070C0"/>
                <w:sz w:val="20"/>
                <w:szCs w:val="20"/>
                <w:lang w:val="en-US"/>
              </w:rPr>
              <w:t xml:space="preserve">to </w:t>
            </w:r>
            <w:r w:rsidR="00BB7041" w:rsidRPr="00BB7041">
              <w:rPr>
                <w:rFonts w:asciiTheme="minorHAnsi" w:hAnsiTheme="minorHAnsi"/>
                <w:color w:val="0070C0"/>
                <w:sz w:val="20"/>
                <w:szCs w:val="20"/>
                <w:lang w:val="en-US"/>
              </w:rPr>
              <w:t>Finnish nationals as well</w:t>
            </w:r>
            <w:r w:rsidR="00BB7041">
              <w:rPr>
                <w:rFonts w:asciiTheme="minorHAnsi" w:hAnsiTheme="minorHAnsi"/>
                <w:sz w:val="20"/>
                <w:szCs w:val="20"/>
                <w:lang w:val="en-US"/>
              </w:rPr>
              <w:t xml:space="preserve"> to </w:t>
            </w:r>
            <w:r w:rsidR="00E072AB" w:rsidRPr="00EE0144">
              <w:rPr>
                <w:rFonts w:asciiTheme="minorHAnsi" w:hAnsiTheme="minorHAnsi"/>
                <w:sz w:val="20"/>
                <w:szCs w:val="20"/>
                <w:lang w:val="en-US"/>
              </w:rPr>
              <w:t>nationals of countries outside the EU/EEA and who have obtained their qualifications in a country outside of the EU/EEA. The authori</w:t>
            </w:r>
            <w:r w:rsidR="00EE0144" w:rsidRPr="00EE0144">
              <w:rPr>
                <w:rFonts w:asciiTheme="minorHAnsi" w:hAnsiTheme="minorHAnsi"/>
                <w:sz w:val="20"/>
                <w:szCs w:val="20"/>
                <w:lang w:val="en-US"/>
              </w:rPr>
              <w:t>z</w:t>
            </w:r>
            <w:r w:rsidR="00E072AB" w:rsidRPr="00EE0144">
              <w:rPr>
                <w:rFonts w:asciiTheme="minorHAnsi" w:hAnsiTheme="minorHAnsi"/>
                <w:sz w:val="20"/>
                <w:szCs w:val="20"/>
                <w:lang w:val="en-US"/>
              </w:rPr>
              <w:t>ation is valid for a fixed period of time and may be restricted to a specific place of employment. (Source: Matrix’s Feasibility Study).</w:t>
            </w:r>
          </w:p>
          <w:p w:rsidR="00E072AB" w:rsidRPr="00E072AB" w:rsidRDefault="00E072AB" w:rsidP="007F6F1F">
            <w:pPr>
              <w:rPr>
                <w:sz w:val="16"/>
                <w:lang w:val="en-US"/>
              </w:rPr>
            </w:pPr>
          </w:p>
        </w:tc>
        <w:tc>
          <w:tcPr>
            <w:tcW w:w="5171" w:type="dxa"/>
            <w:vMerge/>
          </w:tcPr>
          <w:p w:rsidR="00E072AB" w:rsidRDefault="00E072AB" w:rsidP="007F6F1F">
            <w:pPr>
              <w:rPr>
                <w:lang w:val="en-US"/>
              </w:rPr>
            </w:pPr>
          </w:p>
        </w:tc>
      </w:tr>
    </w:tbl>
    <w:p w:rsidR="00DD5C39" w:rsidRDefault="00DD5C39">
      <w:r>
        <w:br w:type="page"/>
      </w:r>
    </w:p>
    <w:tbl>
      <w:tblPr>
        <w:tblStyle w:val="Grigliatabella"/>
        <w:tblW w:w="0" w:type="auto"/>
        <w:tblLook w:val="04A0"/>
      </w:tblPr>
      <w:tblGrid>
        <w:gridCol w:w="3748"/>
        <w:gridCol w:w="5584"/>
        <w:gridCol w:w="5171"/>
      </w:tblGrid>
      <w:tr w:rsidR="00AF3AEB" w:rsidRPr="009A23DD" w:rsidTr="00627AB2">
        <w:tc>
          <w:tcPr>
            <w:tcW w:w="3748" w:type="dxa"/>
          </w:tcPr>
          <w:p w:rsidR="00AF3AEB" w:rsidRPr="00EE0144" w:rsidRDefault="00AF3AEB" w:rsidP="00EE0144">
            <w:pPr>
              <w:rPr>
                <w:rFonts w:ascii="Times New Roman" w:hAnsi="Times New Roman" w:cs="Times New Roman"/>
                <w:u w:val="single"/>
                <w:lang w:val="en-US"/>
              </w:rPr>
            </w:pPr>
            <w:r w:rsidRPr="00EE0144">
              <w:rPr>
                <w:rFonts w:ascii="Times New Roman" w:hAnsi="Times New Roman" w:cs="Times New Roman"/>
                <w:u w:val="single"/>
                <w:lang w:val="en-US"/>
              </w:rPr>
              <w:lastRenderedPageBreak/>
              <w:t>Do</w:t>
            </w:r>
          </w:p>
          <w:p w:rsidR="00AF3AEB" w:rsidRPr="00EE0144" w:rsidRDefault="00AF3AEB" w:rsidP="00EE0144">
            <w:pPr>
              <w:rPr>
                <w:rFonts w:ascii="Times New Roman" w:hAnsi="Times New Roman" w:cs="Times New Roman"/>
                <w:lang w:val="en-US"/>
              </w:rPr>
            </w:pPr>
            <w:r w:rsidRPr="00EE0144">
              <w:rPr>
                <w:rFonts w:ascii="Times New Roman" w:hAnsi="Times New Roman" w:cs="Times New Roman"/>
                <w:lang w:val="en-US"/>
              </w:rPr>
              <w:t>How are the plans</w:t>
            </w:r>
            <w:r w:rsidR="00AA4941" w:rsidRPr="00EE0144">
              <w:rPr>
                <w:rFonts w:ascii="Times New Roman" w:hAnsi="Times New Roman" w:cs="Times New Roman"/>
                <w:lang w:val="en-US"/>
              </w:rPr>
              <w:t xml:space="preserve"> realized and who is involved?</w:t>
            </w:r>
          </w:p>
          <w:p w:rsidR="007B59DA" w:rsidRPr="00EE0144" w:rsidRDefault="007B59DA" w:rsidP="00EE0144">
            <w:pPr>
              <w:rPr>
                <w:rFonts w:ascii="Times New Roman" w:hAnsi="Times New Roman" w:cs="Times New Roman"/>
                <w:u w:val="single"/>
                <w:lang w:val="en-US"/>
              </w:rPr>
            </w:pPr>
          </w:p>
        </w:tc>
        <w:tc>
          <w:tcPr>
            <w:tcW w:w="5584" w:type="dxa"/>
          </w:tcPr>
          <w:p w:rsidR="006800E3" w:rsidRDefault="006800E3" w:rsidP="006800E3">
            <w:pPr>
              <w:rPr>
                <w:color w:val="000000"/>
                <w:sz w:val="24"/>
                <w:szCs w:val="24"/>
                <w:lang w:val="en-US" w:eastAsia="ja-JP"/>
              </w:rPr>
            </w:pPr>
          </w:p>
          <w:p w:rsidR="00D136E7" w:rsidRPr="00BB7041" w:rsidRDefault="00D136E7" w:rsidP="00D136E7">
            <w:pPr>
              <w:rPr>
                <w:color w:val="0070C0"/>
                <w:sz w:val="20"/>
                <w:szCs w:val="20"/>
                <w:lang w:val="en-US"/>
              </w:rPr>
            </w:pPr>
            <w:r w:rsidRPr="00BB7041">
              <w:rPr>
                <w:color w:val="0070C0"/>
                <w:sz w:val="20"/>
                <w:szCs w:val="20"/>
                <w:lang w:val="en-US"/>
              </w:rPr>
              <w:t xml:space="preserve">The intake </w:t>
            </w:r>
            <w:r w:rsidR="00BB7041" w:rsidRPr="00BB7041">
              <w:rPr>
                <w:color w:val="0070C0"/>
                <w:sz w:val="20"/>
                <w:szCs w:val="20"/>
                <w:lang w:val="en-US"/>
              </w:rPr>
              <w:t>at</w:t>
            </w:r>
            <w:r w:rsidRPr="00BB7041">
              <w:rPr>
                <w:color w:val="0070C0"/>
                <w:sz w:val="20"/>
                <w:szCs w:val="20"/>
                <w:lang w:val="en-US"/>
              </w:rPr>
              <w:t xml:space="preserve"> universities, polytechnics and vocational institutions is defined in accordance with the national entrant targets as part of the </w:t>
            </w:r>
            <w:r w:rsidRPr="009A23DD">
              <w:rPr>
                <w:bCs/>
                <w:color w:val="0070C0"/>
                <w:sz w:val="20"/>
                <w:szCs w:val="20"/>
                <w:lang w:val="en-US" w:eastAsia="en-US"/>
              </w:rPr>
              <w:t xml:space="preserve">development plan of education and university </w:t>
            </w:r>
            <w:proofErr w:type="spellStart"/>
            <w:r w:rsidRPr="009A23DD">
              <w:rPr>
                <w:bCs/>
                <w:color w:val="0070C0"/>
                <w:sz w:val="20"/>
                <w:szCs w:val="20"/>
                <w:lang w:val="en-US" w:eastAsia="en-US"/>
              </w:rPr>
              <w:t>reaseach</w:t>
            </w:r>
            <w:proofErr w:type="spellEnd"/>
            <w:r w:rsidRPr="00BB7041">
              <w:rPr>
                <w:color w:val="0070C0"/>
                <w:sz w:val="20"/>
                <w:szCs w:val="20"/>
                <w:highlight w:val="yellow"/>
                <w:lang w:val="en-US"/>
              </w:rPr>
              <w:t>.</w:t>
            </w:r>
          </w:p>
          <w:p w:rsidR="00D136E7" w:rsidRPr="00BB7041" w:rsidRDefault="00D136E7" w:rsidP="006800E3">
            <w:pPr>
              <w:rPr>
                <w:color w:val="0070C0"/>
                <w:sz w:val="20"/>
                <w:szCs w:val="20"/>
                <w:highlight w:val="yellow"/>
                <w:lang w:val="en-US" w:eastAsia="ja-JP"/>
              </w:rPr>
            </w:pPr>
          </w:p>
          <w:p w:rsidR="006800E3" w:rsidRPr="00BB7041" w:rsidRDefault="006800E3" w:rsidP="006800E3">
            <w:pPr>
              <w:rPr>
                <w:color w:val="0070C0"/>
                <w:sz w:val="20"/>
                <w:szCs w:val="20"/>
                <w:lang w:val="en-US" w:eastAsia="ja-JP"/>
              </w:rPr>
            </w:pPr>
            <w:r w:rsidRPr="00BB7041">
              <w:rPr>
                <w:color w:val="0070C0"/>
                <w:sz w:val="20"/>
                <w:szCs w:val="20"/>
                <w:lang w:val="en-US" w:eastAsia="ja-JP"/>
              </w:rPr>
              <w:t xml:space="preserve">Educational supply is evaluated in the middle of the implementation period for the development plan. This process is commissioned by the </w:t>
            </w:r>
            <w:proofErr w:type="spellStart"/>
            <w:r w:rsidR="00627AB2" w:rsidRPr="00BB7041">
              <w:rPr>
                <w:color w:val="0070C0"/>
                <w:sz w:val="20"/>
                <w:szCs w:val="20"/>
                <w:lang w:val="en-US" w:eastAsia="ja-JP"/>
              </w:rPr>
              <w:t>MoEC</w:t>
            </w:r>
            <w:proofErr w:type="spellEnd"/>
            <w:r w:rsidRPr="00BB7041">
              <w:rPr>
                <w:color w:val="0070C0"/>
                <w:sz w:val="20"/>
                <w:szCs w:val="20"/>
                <w:lang w:val="en-US" w:eastAsia="ja-JP"/>
              </w:rPr>
              <w:t xml:space="preserve"> and supported by a national coordination group appointed by the </w:t>
            </w:r>
            <w:proofErr w:type="spellStart"/>
            <w:r w:rsidR="00627AB2" w:rsidRPr="00BB7041">
              <w:rPr>
                <w:color w:val="0070C0"/>
                <w:sz w:val="20"/>
                <w:szCs w:val="20"/>
                <w:lang w:val="en-US" w:eastAsia="ja-JP"/>
              </w:rPr>
              <w:t>MoEC</w:t>
            </w:r>
            <w:proofErr w:type="spellEnd"/>
            <w:r w:rsidRPr="00BB7041">
              <w:rPr>
                <w:color w:val="0070C0"/>
                <w:sz w:val="20"/>
                <w:szCs w:val="20"/>
                <w:lang w:val="en-US" w:eastAsia="ja-JP"/>
              </w:rPr>
              <w:t>.</w:t>
            </w:r>
            <w:r w:rsidR="00D136E7" w:rsidRPr="00BB7041">
              <w:rPr>
                <w:color w:val="0070C0"/>
                <w:sz w:val="20"/>
                <w:szCs w:val="20"/>
                <w:lang w:val="en-US" w:eastAsia="ja-JP"/>
              </w:rPr>
              <w:t xml:space="preserve"> The </w:t>
            </w:r>
            <w:proofErr w:type="spellStart"/>
            <w:r w:rsidR="00627AB2" w:rsidRPr="00BB7041">
              <w:rPr>
                <w:color w:val="0070C0"/>
                <w:sz w:val="20"/>
                <w:szCs w:val="20"/>
                <w:lang w:val="en-US" w:eastAsia="ja-JP"/>
              </w:rPr>
              <w:t>MoSocH</w:t>
            </w:r>
            <w:proofErr w:type="spellEnd"/>
            <w:r w:rsidR="00D136E7" w:rsidRPr="00BB7041">
              <w:rPr>
                <w:color w:val="0070C0"/>
                <w:sz w:val="20"/>
                <w:szCs w:val="20"/>
                <w:lang w:val="en-US" w:eastAsia="ja-JP"/>
              </w:rPr>
              <w:t xml:space="preserve"> is also involved in this process. </w:t>
            </w:r>
            <w:r w:rsidRPr="00BB7041">
              <w:rPr>
                <w:color w:val="0070C0"/>
                <w:sz w:val="20"/>
                <w:szCs w:val="20"/>
                <w:lang w:val="en-US" w:eastAsia="ja-JP"/>
              </w:rPr>
              <w:t>During this process the production of the qualifications is compared to the entrant targets and assessed in relation to the sufficiency of workforce (shortages among different professional and vocational groups, changes in professional roles and the service structure etc.).</w:t>
            </w:r>
          </w:p>
          <w:p w:rsidR="00AF3AEB" w:rsidRDefault="00AF3AEB" w:rsidP="007F6F1F">
            <w:pPr>
              <w:rPr>
                <w:lang w:val="en-US"/>
              </w:rPr>
            </w:pPr>
          </w:p>
        </w:tc>
        <w:tc>
          <w:tcPr>
            <w:tcW w:w="5171" w:type="dxa"/>
          </w:tcPr>
          <w:p w:rsidR="00AF3AEB" w:rsidRDefault="00AF3AEB" w:rsidP="007F6F1F">
            <w:pPr>
              <w:rPr>
                <w:lang w:val="en-US"/>
              </w:rPr>
            </w:pPr>
          </w:p>
        </w:tc>
      </w:tr>
      <w:tr w:rsidR="007B59DA" w:rsidRPr="009A23DD" w:rsidTr="00627AB2">
        <w:tc>
          <w:tcPr>
            <w:tcW w:w="3748" w:type="dxa"/>
          </w:tcPr>
          <w:p w:rsidR="00EE0144" w:rsidRPr="009A23DD" w:rsidRDefault="00627AB2" w:rsidP="00EE0144">
            <w:pPr>
              <w:rPr>
                <w:rFonts w:ascii="Times New Roman" w:hAnsi="Times New Roman" w:cs="Times New Roman"/>
                <w:lang w:val="en-US"/>
              </w:rPr>
            </w:pPr>
            <w:r w:rsidRPr="009A23DD">
              <w:rPr>
                <w:lang w:val="en-US"/>
              </w:rPr>
              <w:br w:type="page"/>
            </w:r>
            <w:r w:rsidR="00EE0144" w:rsidRPr="009A23DD">
              <w:rPr>
                <w:rFonts w:ascii="Times New Roman" w:hAnsi="Times New Roman" w:cs="Times New Roman"/>
                <w:lang w:val="en-US"/>
              </w:rPr>
              <w:br w:type="page"/>
            </w:r>
          </w:p>
          <w:p w:rsidR="00EE0144" w:rsidRPr="00EE0144" w:rsidRDefault="00EE0144" w:rsidP="00EE0144">
            <w:pPr>
              <w:rPr>
                <w:rFonts w:ascii="Times New Roman" w:hAnsi="Times New Roman" w:cs="Times New Roman"/>
                <w:u w:val="single"/>
                <w:lang w:val="en-US"/>
              </w:rPr>
            </w:pPr>
          </w:p>
          <w:p w:rsidR="007B59DA" w:rsidRPr="00EE0144" w:rsidRDefault="007B59DA" w:rsidP="00EE0144">
            <w:pPr>
              <w:rPr>
                <w:rFonts w:ascii="Times New Roman" w:hAnsi="Times New Roman" w:cs="Times New Roman"/>
                <w:u w:val="single"/>
                <w:lang w:val="en-US"/>
              </w:rPr>
            </w:pPr>
            <w:r w:rsidRPr="00EE0144">
              <w:rPr>
                <w:rFonts w:ascii="Times New Roman" w:hAnsi="Times New Roman" w:cs="Times New Roman"/>
                <w:u w:val="single"/>
                <w:lang w:val="en-US"/>
              </w:rPr>
              <w:t>Check</w:t>
            </w:r>
          </w:p>
          <w:p w:rsidR="00AA4941" w:rsidRPr="00EE0144" w:rsidRDefault="00AA4941" w:rsidP="00EE0144">
            <w:pPr>
              <w:rPr>
                <w:rFonts w:ascii="Times New Roman" w:hAnsi="Times New Roman" w:cs="Times New Roman"/>
                <w:lang w:val="en-US"/>
              </w:rPr>
            </w:pPr>
            <w:r w:rsidRPr="00EE0144">
              <w:rPr>
                <w:rFonts w:ascii="Times New Roman" w:hAnsi="Times New Roman" w:cs="Times New Roman"/>
                <w:lang w:val="en-US"/>
              </w:rPr>
              <w:t xml:space="preserve">How are goals and actions checked? </w:t>
            </w:r>
          </w:p>
          <w:p w:rsidR="007B59DA" w:rsidRPr="00EE0144" w:rsidRDefault="00AA4941" w:rsidP="00EE0144">
            <w:pPr>
              <w:rPr>
                <w:rFonts w:ascii="Times New Roman" w:hAnsi="Times New Roman" w:cs="Times New Roman"/>
                <w:lang w:val="en-US"/>
              </w:rPr>
            </w:pPr>
            <w:r w:rsidRPr="00EE0144">
              <w:rPr>
                <w:rFonts w:ascii="Times New Roman" w:hAnsi="Times New Roman" w:cs="Times New Roman"/>
                <w:lang w:val="en-US"/>
              </w:rPr>
              <w:t>Who is the checker?</w:t>
            </w:r>
          </w:p>
          <w:p w:rsidR="00AA4941" w:rsidRPr="00EE0144" w:rsidRDefault="00AA4941" w:rsidP="00EE0144">
            <w:pPr>
              <w:rPr>
                <w:rFonts w:ascii="Times New Roman" w:hAnsi="Times New Roman" w:cs="Times New Roman"/>
                <w:lang w:val="en-US"/>
              </w:rPr>
            </w:pPr>
          </w:p>
        </w:tc>
        <w:tc>
          <w:tcPr>
            <w:tcW w:w="5584" w:type="dxa"/>
          </w:tcPr>
          <w:p w:rsidR="008B69B0" w:rsidRPr="00EE0144" w:rsidRDefault="008B69B0" w:rsidP="008B69B0">
            <w:pPr>
              <w:pStyle w:val="Default"/>
              <w:rPr>
                <w:rFonts w:asciiTheme="minorHAnsi" w:hAnsiTheme="minorHAnsi"/>
                <w:sz w:val="20"/>
                <w:szCs w:val="20"/>
                <w:lang w:val="en-US"/>
              </w:rPr>
            </w:pPr>
            <w:r w:rsidRPr="00EE0144">
              <w:rPr>
                <w:rFonts w:asciiTheme="minorHAnsi" w:hAnsiTheme="minorHAnsi"/>
                <w:sz w:val="20"/>
                <w:szCs w:val="20"/>
                <w:lang w:val="en-US"/>
              </w:rPr>
              <w:t>In order to ensure that the university intakes and the content of university and training programs established in the Development Plan are respected, the Ministry of Education and Culture makes three-year performance agreements with polytechnics and universities. Intakes are agreed in these negotiations. (Source: Matrix’s Feasibility Study).</w:t>
            </w:r>
          </w:p>
          <w:p w:rsidR="00E072AB" w:rsidRPr="00EE0144" w:rsidRDefault="00E072AB" w:rsidP="008B69B0">
            <w:pPr>
              <w:pStyle w:val="Default"/>
              <w:rPr>
                <w:rFonts w:asciiTheme="minorHAnsi" w:hAnsiTheme="minorHAnsi"/>
                <w:sz w:val="20"/>
                <w:szCs w:val="20"/>
                <w:lang w:val="en-US"/>
              </w:rPr>
            </w:pPr>
          </w:p>
          <w:p w:rsidR="00E072AB" w:rsidRPr="00EE0144" w:rsidRDefault="00E072AB" w:rsidP="00E072AB">
            <w:pPr>
              <w:pStyle w:val="Default"/>
              <w:rPr>
                <w:rFonts w:asciiTheme="minorHAnsi" w:hAnsiTheme="minorHAnsi"/>
                <w:sz w:val="20"/>
                <w:szCs w:val="20"/>
                <w:lang w:val="en-US"/>
              </w:rPr>
            </w:pPr>
            <w:r w:rsidRPr="00EE0144">
              <w:rPr>
                <w:rFonts w:asciiTheme="minorHAnsi" w:hAnsiTheme="minorHAnsi"/>
                <w:sz w:val="20"/>
                <w:szCs w:val="20"/>
                <w:lang w:val="en-US"/>
              </w:rPr>
              <w:t>Educational supply is evaluated in the middle of the implementation period for the development plan. This process is commissioned by the Ministry of Education and Culture and supported by a national coordination group appointed by the Ministry of Education and Culture</w:t>
            </w:r>
            <w:r w:rsidRPr="00BB7041">
              <w:rPr>
                <w:rFonts w:asciiTheme="minorHAnsi" w:hAnsiTheme="minorHAnsi"/>
                <w:sz w:val="20"/>
                <w:szCs w:val="20"/>
                <w:lang w:val="en-US"/>
              </w:rPr>
              <w:t xml:space="preserve">. </w:t>
            </w:r>
            <w:r w:rsidR="00D136E7" w:rsidRPr="00BB7041">
              <w:rPr>
                <w:rFonts w:asciiTheme="minorHAnsi" w:hAnsiTheme="minorHAnsi"/>
                <w:color w:val="0070C0"/>
                <w:sz w:val="20"/>
                <w:szCs w:val="20"/>
                <w:lang w:val="en-US" w:eastAsia="ja-JP"/>
              </w:rPr>
              <w:t xml:space="preserve">The </w:t>
            </w:r>
            <w:proofErr w:type="spellStart"/>
            <w:r w:rsidR="00627AB2" w:rsidRPr="00BB7041">
              <w:rPr>
                <w:rFonts w:asciiTheme="minorHAnsi" w:hAnsiTheme="minorHAnsi"/>
                <w:color w:val="0070C0"/>
                <w:sz w:val="20"/>
                <w:szCs w:val="20"/>
                <w:lang w:val="en-US" w:eastAsia="ja-JP"/>
              </w:rPr>
              <w:t>MoSocH</w:t>
            </w:r>
            <w:proofErr w:type="spellEnd"/>
            <w:r w:rsidR="00D136E7" w:rsidRPr="00BB7041">
              <w:rPr>
                <w:rFonts w:asciiTheme="minorHAnsi" w:hAnsiTheme="minorHAnsi"/>
                <w:color w:val="0070C0"/>
                <w:sz w:val="20"/>
                <w:szCs w:val="20"/>
                <w:lang w:val="en-US" w:eastAsia="ja-JP"/>
              </w:rPr>
              <w:t xml:space="preserve"> is also involved in this process.</w:t>
            </w:r>
            <w:r w:rsidR="00BB7041">
              <w:rPr>
                <w:rFonts w:asciiTheme="minorHAnsi" w:hAnsiTheme="minorHAnsi"/>
                <w:sz w:val="20"/>
                <w:szCs w:val="20"/>
                <w:lang w:val="en-US" w:eastAsia="ja-JP"/>
              </w:rPr>
              <w:t xml:space="preserve"> </w:t>
            </w:r>
            <w:r w:rsidRPr="00EE0144">
              <w:rPr>
                <w:rFonts w:asciiTheme="minorHAnsi" w:hAnsiTheme="minorHAnsi"/>
                <w:sz w:val="20"/>
                <w:szCs w:val="20"/>
                <w:lang w:val="en-US"/>
              </w:rPr>
              <w:t>During this process the production of the qualifications is compared to the entrant targets and assessed in relation to the sufficiency of workforce (shortages among different professional and vocational groups, changes in professional roles and the service structure etc.).  (source: OECD Study)</w:t>
            </w:r>
          </w:p>
          <w:p w:rsidR="00EE0144" w:rsidRPr="00EE0144" w:rsidRDefault="00EE0144" w:rsidP="007F6F1F">
            <w:pPr>
              <w:rPr>
                <w:color w:val="4F81BD" w:themeColor="accent1"/>
                <w:sz w:val="20"/>
                <w:szCs w:val="20"/>
                <w:lang w:val="en-US"/>
              </w:rPr>
            </w:pPr>
          </w:p>
          <w:p w:rsidR="007B59DA" w:rsidRPr="00BB7041" w:rsidRDefault="00EE0144" w:rsidP="007F6F1F">
            <w:pPr>
              <w:rPr>
                <w:color w:val="0070C0"/>
                <w:sz w:val="20"/>
                <w:szCs w:val="20"/>
                <w:lang w:val="en-US"/>
              </w:rPr>
            </w:pPr>
            <w:r w:rsidRPr="00EE0144">
              <w:rPr>
                <w:color w:val="4F81BD" w:themeColor="accent1"/>
                <w:sz w:val="20"/>
                <w:szCs w:val="20"/>
                <w:lang w:val="en-US"/>
              </w:rPr>
              <w:t xml:space="preserve">There is a continuous monitoring of labor force in </w:t>
            </w:r>
            <w:r w:rsidR="00DD5C39">
              <w:rPr>
                <w:color w:val="4F81BD" w:themeColor="accent1"/>
                <w:sz w:val="20"/>
                <w:szCs w:val="20"/>
                <w:lang w:val="en-US"/>
              </w:rPr>
              <w:t>S</w:t>
            </w:r>
            <w:r w:rsidRPr="00EE0144">
              <w:rPr>
                <w:color w:val="4F81BD" w:themeColor="accent1"/>
                <w:sz w:val="20"/>
                <w:szCs w:val="20"/>
                <w:lang w:val="en-US"/>
              </w:rPr>
              <w:t xml:space="preserve">ocial care and </w:t>
            </w:r>
            <w:r w:rsidR="00DD5C39">
              <w:rPr>
                <w:color w:val="4F81BD" w:themeColor="accent1"/>
                <w:sz w:val="20"/>
                <w:szCs w:val="20"/>
                <w:lang w:val="en-US"/>
              </w:rPr>
              <w:t>H</w:t>
            </w:r>
            <w:r w:rsidRPr="00EE0144">
              <w:rPr>
                <w:color w:val="4F81BD" w:themeColor="accent1"/>
                <w:sz w:val="20"/>
                <w:szCs w:val="20"/>
                <w:lang w:val="en-US"/>
              </w:rPr>
              <w:t>ealth</w:t>
            </w:r>
            <w:r w:rsidR="00DD5C39">
              <w:rPr>
                <w:color w:val="4F81BD" w:themeColor="accent1"/>
                <w:sz w:val="20"/>
                <w:szCs w:val="20"/>
                <w:lang w:val="en-US"/>
              </w:rPr>
              <w:t>,</w:t>
            </w:r>
            <w:r w:rsidRPr="00EE0144">
              <w:rPr>
                <w:color w:val="4F81BD" w:themeColor="accent1"/>
                <w:sz w:val="20"/>
                <w:szCs w:val="20"/>
                <w:lang w:val="en-US"/>
              </w:rPr>
              <w:t xml:space="preserve">  yearly reports from THL (through data from Statistics of Finland and Valvira)</w:t>
            </w:r>
            <w:r w:rsidR="00D136E7">
              <w:rPr>
                <w:color w:val="4F81BD" w:themeColor="accent1"/>
                <w:sz w:val="20"/>
                <w:szCs w:val="20"/>
                <w:lang w:val="en-US"/>
              </w:rPr>
              <w:t xml:space="preserve">. </w:t>
            </w:r>
            <w:r w:rsidR="00D136E7" w:rsidRPr="00BB7041">
              <w:rPr>
                <w:color w:val="0070C0"/>
                <w:sz w:val="20"/>
                <w:szCs w:val="20"/>
                <w:lang w:val="en-US"/>
              </w:rPr>
              <w:t>In addition,</w:t>
            </w:r>
            <w:r w:rsidR="00D136E7" w:rsidRPr="009A23DD">
              <w:rPr>
                <w:rFonts w:cs="Arial"/>
                <w:color w:val="0070C0"/>
                <w:sz w:val="20"/>
                <w:szCs w:val="20"/>
                <w:lang w:val="en-US" w:eastAsia="en-GB"/>
              </w:rPr>
              <w:t xml:space="preserve"> The Finnish Medical Association and the Finnish Dental Association together with Local </w:t>
            </w:r>
            <w:r w:rsidR="00BB7041" w:rsidRPr="009A23DD">
              <w:rPr>
                <w:rFonts w:cs="Arial"/>
                <w:color w:val="0070C0"/>
                <w:sz w:val="20"/>
                <w:szCs w:val="20"/>
                <w:lang w:val="en-US" w:eastAsia="en-GB"/>
              </w:rPr>
              <w:lastRenderedPageBreak/>
              <w:t>G</w:t>
            </w:r>
            <w:r w:rsidR="00D136E7" w:rsidRPr="009A23DD">
              <w:rPr>
                <w:rFonts w:cs="Arial"/>
                <w:color w:val="0070C0"/>
                <w:sz w:val="20"/>
                <w:szCs w:val="20"/>
                <w:lang w:val="en-US" w:eastAsia="en-GB"/>
              </w:rPr>
              <w:t xml:space="preserve">overnment </w:t>
            </w:r>
            <w:r w:rsidR="00BB7041" w:rsidRPr="009A23DD">
              <w:rPr>
                <w:rFonts w:cs="Arial"/>
                <w:color w:val="0070C0"/>
                <w:sz w:val="20"/>
                <w:szCs w:val="20"/>
                <w:lang w:val="en-US" w:eastAsia="en-GB"/>
              </w:rPr>
              <w:t>E</w:t>
            </w:r>
            <w:r w:rsidR="00D136E7" w:rsidRPr="009A23DD">
              <w:rPr>
                <w:rFonts w:cs="Arial"/>
                <w:color w:val="0070C0"/>
                <w:sz w:val="20"/>
                <w:szCs w:val="20"/>
                <w:lang w:val="en-US" w:eastAsia="en-GB"/>
              </w:rPr>
              <w:t xml:space="preserve">mployers (KT, </w:t>
            </w:r>
            <w:hyperlink r:id="rId18" w:history="1">
              <w:r w:rsidR="00D136E7" w:rsidRPr="009A23DD">
                <w:rPr>
                  <w:rStyle w:val="Collegamentoipertestuale"/>
                  <w:rFonts w:cs="Arial"/>
                  <w:color w:val="0070C0"/>
                  <w:sz w:val="20"/>
                  <w:szCs w:val="20"/>
                  <w:lang w:val="en-US" w:eastAsia="en-GB"/>
                </w:rPr>
                <w:t>www.kuntatyonantajat.fi</w:t>
              </w:r>
            </w:hyperlink>
            <w:r w:rsidR="00D136E7" w:rsidRPr="009A23DD">
              <w:rPr>
                <w:rFonts w:cs="Arial"/>
                <w:color w:val="0070C0"/>
                <w:sz w:val="20"/>
                <w:szCs w:val="20"/>
                <w:lang w:val="en-US" w:eastAsia="en-GB"/>
              </w:rPr>
              <w:t xml:space="preserve">) collect information on physician and dentist shortages in municipal health </w:t>
            </w:r>
            <w:proofErr w:type="spellStart"/>
            <w:r w:rsidR="00D136E7" w:rsidRPr="009A23DD">
              <w:rPr>
                <w:rFonts w:cs="Arial"/>
                <w:color w:val="0070C0"/>
                <w:sz w:val="20"/>
                <w:szCs w:val="20"/>
                <w:lang w:val="en-US" w:eastAsia="en-GB"/>
              </w:rPr>
              <w:t>centres</w:t>
            </w:r>
            <w:proofErr w:type="spellEnd"/>
            <w:r w:rsidR="00D136E7" w:rsidRPr="009A23DD">
              <w:rPr>
                <w:rFonts w:cs="Arial"/>
                <w:color w:val="0070C0"/>
                <w:sz w:val="20"/>
                <w:szCs w:val="20"/>
                <w:lang w:val="en-US" w:eastAsia="en-GB"/>
              </w:rPr>
              <w:t>.</w:t>
            </w:r>
            <w:r w:rsidR="00D136E7" w:rsidRPr="009A23DD">
              <w:rPr>
                <w:color w:val="0070C0"/>
                <w:sz w:val="20"/>
                <w:szCs w:val="20"/>
                <w:lang w:val="en-US"/>
              </w:rPr>
              <w:t xml:space="preserve"> </w:t>
            </w:r>
            <w:r w:rsidR="00BB7041" w:rsidRPr="009A23DD">
              <w:rPr>
                <w:color w:val="0070C0"/>
                <w:sz w:val="20"/>
                <w:szCs w:val="20"/>
                <w:lang w:val="en-US"/>
              </w:rPr>
              <w:t>KT</w:t>
            </w:r>
            <w:r w:rsidR="00D136E7" w:rsidRPr="009A23DD">
              <w:rPr>
                <w:color w:val="0070C0"/>
                <w:sz w:val="20"/>
                <w:szCs w:val="20"/>
                <w:lang w:val="en-US"/>
              </w:rPr>
              <w:t xml:space="preserve"> </w:t>
            </w:r>
            <w:r w:rsidR="007C164E" w:rsidRPr="009A23DD">
              <w:rPr>
                <w:color w:val="0070C0"/>
                <w:sz w:val="20"/>
                <w:szCs w:val="20"/>
                <w:lang w:val="en-US"/>
              </w:rPr>
              <w:t>reports</w:t>
            </w:r>
            <w:r w:rsidR="00D136E7" w:rsidRPr="009A23DD">
              <w:rPr>
                <w:color w:val="0070C0"/>
                <w:sz w:val="20"/>
                <w:szCs w:val="20"/>
                <w:lang w:val="en-US"/>
              </w:rPr>
              <w:t xml:space="preserve"> also the shortages of the medical specialists in </w:t>
            </w:r>
            <w:proofErr w:type="spellStart"/>
            <w:r w:rsidR="00D136E7" w:rsidRPr="009A23DD">
              <w:rPr>
                <w:color w:val="0070C0"/>
                <w:sz w:val="20"/>
                <w:szCs w:val="20"/>
                <w:lang w:val="en-US"/>
              </w:rPr>
              <w:t>hospitals.</w:t>
            </w:r>
            <w:r w:rsidR="00BB7041" w:rsidRPr="009A23DD">
              <w:rPr>
                <w:rFonts w:cs="Arial"/>
                <w:color w:val="0070C0"/>
                <w:sz w:val="20"/>
                <w:szCs w:val="20"/>
                <w:lang w:val="en-US" w:eastAsia="en-GB"/>
              </w:rPr>
              <w:t>KT</w:t>
            </w:r>
            <w:proofErr w:type="spellEnd"/>
            <w:r w:rsidR="00D136E7" w:rsidRPr="009A23DD">
              <w:rPr>
                <w:rFonts w:cs="Arial"/>
                <w:color w:val="0070C0"/>
                <w:sz w:val="20"/>
                <w:szCs w:val="20"/>
                <w:lang w:val="en-US" w:eastAsia="en-GB"/>
              </w:rPr>
              <w:t xml:space="preserve"> makes assessments every two or three years also on the shortages of other professional and vocational groups in municipal social and health care. These assessments on </w:t>
            </w:r>
            <w:proofErr w:type="spellStart"/>
            <w:r w:rsidR="00D136E7" w:rsidRPr="009A23DD">
              <w:rPr>
                <w:rFonts w:cs="Arial"/>
                <w:color w:val="0070C0"/>
                <w:sz w:val="20"/>
                <w:szCs w:val="20"/>
                <w:lang w:val="en-US" w:eastAsia="en-GB"/>
              </w:rPr>
              <w:t>sortages</w:t>
            </w:r>
            <w:proofErr w:type="spellEnd"/>
            <w:r w:rsidR="00D136E7" w:rsidRPr="009A23DD">
              <w:rPr>
                <w:rFonts w:cs="Arial"/>
                <w:color w:val="0070C0"/>
                <w:sz w:val="20"/>
                <w:szCs w:val="20"/>
                <w:lang w:val="en-US" w:eastAsia="en-GB"/>
              </w:rPr>
              <w:t xml:space="preserve"> are carried out in collaboration with the </w:t>
            </w:r>
            <w:proofErr w:type="spellStart"/>
            <w:r w:rsidR="00627AB2" w:rsidRPr="009A23DD">
              <w:rPr>
                <w:rFonts w:cs="Arial"/>
                <w:color w:val="0070C0"/>
                <w:sz w:val="20"/>
                <w:szCs w:val="20"/>
                <w:lang w:val="en-US" w:eastAsia="en-GB"/>
              </w:rPr>
              <w:t>MoSocH</w:t>
            </w:r>
            <w:proofErr w:type="spellEnd"/>
            <w:r w:rsidR="00D136E7" w:rsidRPr="009A23DD">
              <w:rPr>
                <w:rFonts w:cs="Arial"/>
                <w:color w:val="0070C0"/>
                <w:sz w:val="20"/>
                <w:szCs w:val="20"/>
                <w:lang w:val="en-US" w:eastAsia="en-GB"/>
              </w:rPr>
              <w:t>.</w:t>
            </w:r>
          </w:p>
          <w:p w:rsidR="00EE0144" w:rsidRPr="00EE0144" w:rsidRDefault="00EE0144" w:rsidP="007F6F1F">
            <w:pPr>
              <w:rPr>
                <w:sz w:val="20"/>
                <w:szCs w:val="20"/>
                <w:lang w:val="en-US"/>
              </w:rPr>
            </w:pPr>
          </w:p>
        </w:tc>
        <w:tc>
          <w:tcPr>
            <w:tcW w:w="5171" w:type="dxa"/>
          </w:tcPr>
          <w:p w:rsidR="007B59DA" w:rsidRDefault="007B59DA" w:rsidP="007F6F1F">
            <w:pPr>
              <w:rPr>
                <w:lang w:val="en-US"/>
              </w:rPr>
            </w:pPr>
          </w:p>
          <w:p w:rsidR="00EE0144" w:rsidRDefault="00EE0144" w:rsidP="007F6F1F">
            <w:pPr>
              <w:rPr>
                <w:lang w:val="en-US"/>
              </w:rPr>
            </w:pPr>
          </w:p>
          <w:p w:rsidR="00EE0144" w:rsidRDefault="00EE0144" w:rsidP="007F6F1F">
            <w:pPr>
              <w:rPr>
                <w:lang w:val="en-US"/>
              </w:rPr>
            </w:pPr>
          </w:p>
          <w:p w:rsidR="00EE0144" w:rsidRDefault="00EE0144" w:rsidP="007F6F1F">
            <w:pPr>
              <w:rPr>
                <w:lang w:val="en-US"/>
              </w:rPr>
            </w:pPr>
          </w:p>
          <w:p w:rsidR="00EE0144" w:rsidRDefault="00EE0144" w:rsidP="007F6F1F">
            <w:pPr>
              <w:rPr>
                <w:lang w:val="en-US"/>
              </w:rPr>
            </w:pPr>
          </w:p>
          <w:p w:rsidR="00EE0144" w:rsidRDefault="00EE0144" w:rsidP="007F6F1F">
            <w:pPr>
              <w:rPr>
                <w:lang w:val="en-US"/>
              </w:rPr>
            </w:pPr>
          </w:p>
          <w:p w:rsidR="00EE0144" w:rsidRDefault="00EE0144" w:rsidP="007F6F1F">
            <w:pPr>
              <w:rPr>
                <w:lang w:val="en-US"/>
              </w:rPr>
            </w:pPr>
          </w:p>
          <w:p w:rsidR="00EE0144" w:rsidRDefault="00EE0144" w:rsidP="007F6F1F">
            <w:pPr>
              <w:rPr>
                <w:lang w:val="en-US"/>
              </w:rPr>
            </w:pPr>
          </w:p>
          <w:p w:rsidR="00EE0144" w:rsidRDefault="00EE0144" w:rsidP="007F6F1F">
            <w:pPr>
              <w:rPr>
                <w:lang w:val="en-US"/>
              </w:rPr>
            </w:pPr>
          </w:p>
          <w:p w:rsidR="00EE0144" w:rsidRDefault="00EE0144" w:rsidP="007F6F1F">
            <w:pPr>
              <w:rPr>
                <w:lang w:val="en-US"/>
              </w:rPr>
            </w:pPr>
          </w:p>
          <w:p w:rsidR="00EE0144" w:rsidRDefault="00EE0144" w:rsidP="007F6F1F">
            <w:pPr>
              <w:rPr>
                <w:lang w:val="en-US"/>
              </w:rPr>
            </w:pPr>
          </w:p>
          <w:p w:rsidR="00EE0144" w:rsidRDefault="00EE0144" w:rsidP="007F6F1F">
            <w:pPr>
              <w:rPr>
                <w:lang w:val="en-US"/>
              </w:rPr>
            </w:pPr>
          </w:p>
          <w:p w:rsidR="00430AAB" w:rsidRDefault="00076917" w:rsidP="007F6F1F">
            <w:pPr>
              <w:rPr>
                <w:sz w:val="20"/>
                <w:szCs w:val="20"/>
                <w:lang w:val="en-US"/>
              </w:rPr>
            </w:pPr>
            <w:hyperlink r:id="rId19" w:history="1">
              <w:r w:rsidR="00430AAB" w:rsidRPr="00FE3539">
                <w:rPr>
                  <w:rStyle w:val="Collegamentoipertestuale"/>
                  <w:sz w:val="20"/>
                  <w:szCs w:val="20"/>
                  <w:lang w:val="en-US"/>
                </w:rPr>
                <w:t>http://www.thl.fi/en_US/web/en/statistics/topics/personnel</w:t>
              </w:r>
            </w:hyperlink>
          </w:p>
          <w:p w:rsidR="00430AAB" w:rsidRPr="00430AAB" w:rsidRDefault="00430AAB" w:rsidP="00430AAB">
            <w:pPr>
              <w:rPr>
                <w:color w:val="4F81BD" w:themeColor="accent1"/>
                <w:sz w:val="20"/>
                <w:szCs w:val="20"/>
                <w:lang w:val="en-US"/>
              </w:rPr>
            </w:pPr>
            <w:r w:rsidRPr="00430AAB">
              <w:rPr>
                <w:color w:val="4F81BD" w:themeColor="accent1"/>
                <w:sz w:val="20"/>
                <w:szCs w:val="20"/>
                <w:lang w:val="en-US"/>
              </w:rPr>
              <w:t>and partly on finances too</w:t>
            </w:r>
          </w:p>
          <w:p w:rsidR="00430AAB" w:rsidRDefault="00076917" w:rsidP="00430AAB">
            <w:pPr>
              <w:rPr>
                <w:color w:val="4F81BD" w:themeColor="accent1"/>
                <w:sz w:val="20"/>
                <w:szCs w:val="20"/>
                <w:lang w:val="en-US"/>
              </w:rPr>
            </w:pPr>
            <w:hyperlink r:id="rId20" w:history="1">
              <w:r w:rsidR="00430AAB" w:rsidRPr="00FE3539">
                <w:rPr>
                  <w:rStyle w:val="Collegamentoipertestuale"/>
                  <w:sz w:val="20"/>
                  <w:szCs w:val="20"/>
                  <w:lang w:val="en-US"/>
                </w:rPr>
                <w:t>http://www.thl.fi/en_US/web/en/statistics/topics/finances</w:t>
              </w:r>
            </w:hyperlink>
          </w:p>
          <w:p w:rsidR="00430AAB" w:rsidRPr="00EE0144" w:rsidRDefault="00430AAB" w:rsidP="007F6F1F">
            <w:pPr>
              <w:rPr>
                <w:sz w:val="20"/>
                <w:szCs w:val="20"/>
                <w:lang w:val="en-US"/>
              </w:rPr>
            </w:pPr>
          </w:p>
        </w:tc>
      </w:tr>
      <w:tr w:rsidR="00AA4941" w:rsidRPr="00484795" w:rsidTr="00627AB2">
        <w:tc>
          <w:tcPr>
            <w:tcW w:w="3748" w:type="dxa"/>
          </w:tcPr>
          <w:p w:rsidR="00AA4941" w:rsidRDefault="00AB23B4" w:rsidP="00903630">
            <w:pPr>
              <w:rPr>
                <w:u w:val="single"/>
                <w:lang w:val="en-US"/>
              </w:rPr>
            </w:pPr>
            <w:r w:rsidRPr="009A23DD">
              <w:rPr>
                <w:lang w:val="en-US"/>
              </w:rPr>
              <w:lastRenderedPageBreak/>
              <w:br w:type="page"/>
            </w:r>
            <w:r w:rsidR="00AA4941">
              <w:rPr>
                <w:u w:val="single"/>
                <w:lang w:val="en-US"/>
              </w:rPr>
              <w:t>Act</w:t>
            </w:r>
          </w:p>
          <w:p w:rsidR="00AA4941" w:rsidRDefault="00AA4941" w:rsidP="00903630">
            <w:pPr>
              <w:rPr>
                <w:lang w:val="en-US"/>
              </w:rPr>
            </w:pPr>
            <w:r>
              <w:rPr>
                <w:lang w:val="en-US"/>
              </w:rPr>
              <w:t xml:space="preserve">Are there any </w:t>
            </w:r>
            <w:r w:rsidR="00204266">
              <w:rPr>
                <w:lang w:val="en-US"/>
              </w:rPr>
              <w:t xml:space="preserve">example or </w:t>
            </w:r>
            <w:r>
              <w:rPr>
                <w:lang w:val="en-US"/>
              </w:rPr>
              <w:t xml:space="preserve">documentation on acts to </w:t>
            </w:r>
            <w:r w:rsidR="00204266">
              <w:rPr>
                <w:lang w:val="en-US"/>
              </w:rPr>
              <w:t>correctthe</w:t>
            </w:r>
            <w:r>
              <w:rPr>
                <w:lang w:val="en-US"/>
              </w:rPr>
              <w:t xml:space="preserve"> activities in order to reach the goals?</w:t>
            </w:r>
          </w:p>
          <w:p w:rsidR="00AA4941" w:rsidRDefault="00AA4941" w:rsidP="00903630">
            <w:pPr>
              <w:rPr>
                <w:lang w:val="en-US"/>
              </w:rPr>
            </w:pPr>
            <w:r>
              <w:rPr>
                <w:lang w:val="en-US"/>
              </w:rPr>
              <w:t>Who is in charge of acting if the objectives are not reached?</w:t>
            </w:r>
          </w:p>
          <w:p w:rsidR="00AA4941" w:rsidRDefault="00204266" w:rsidP="00E072AB">
            <w:pPr>
              <w:rPr>
                <w:u w:val="single"/>
                <w:lang w:val="en-US"/>
              </w:rPr>
            </w:pPr>
            <w:r>
              <w:rPr>
                <w:lang w:val="en-US"/>
              </w:rPr>
              <w:t>Are there any e</w:t>
            </w:r>
            <w:r w:rsidRPr="00285891">
              <w:rPr>
                <w:lang w:val="en-US"/>
              </w:rPr>
              <w:t>xamples of re</w:t>
            </w:r>
            <w:r>
              <w:rPr>
                <w:lang w:val="en-US"/>
              </w:rPr>
              <w:t>-</w:t>
            </w:r>
            <w:r w:rsidRPr="00285891">
              <w:rPr>
                <w:lang w:val="en-US"/>
              </w:rPr>
              <w:t>actions to external events</w:t>
            </w:r>
            <w:r>
              <w:rPr>
                <w:lang w:val="en-US"/>
              </w:rPr>
              <w:t xml:space="preserve"> (for example increase/decrease in working hours or in retirement age introduced for economic reasons)?</w:t>
            </w:r>
          </w:p>
        </w:tc>
        <w:tc>
          <w:tcPr>
            <w:tcW w:w="5584" w:type="dxa"/>
          </w:tcPr>
          <w:p w:rsidR="00D136E7" w:rsidRPr="00EE0144" w:rsidRDefault="00D136E7" w:rsidP="00D136E7">
            <w:pPr>
              <w:pStyle w:val="Default"/>
              <w:rPr>
                <w:rFonts w:asciiTheme="minorHAnsi" w:hAnsiTheme="minorHAnsi"/>
                <w:sz w:val="20"/>
                <w:szCs w:val="20"/>
                <w:lang w:val="en-US"/>
              </w:rPr>
            </w:pPr>
            <w:r w:rsidRPr="00EE0144">
              <w:rPr>
                <w:rFonts w:asciiTheme="minorHAnsi" w:hAnsiTheme="minorHAnsi"/>
                <w:sz w:val="20"/>
                <w:szCs w:val="20"/>
                <w:lang w:val="en-US"/>
              </w:rPr>
              <w:t xml:space="preserve">Educational supply is evaluated in the middle of the implementation period for the development plan. This process is commissioned by the </w:t>
            </w:r>
            <w:proofErr w:type="spellStart"/>
            <w:r w:rsidR="00627AB2">
              <w:rPr>
                <w:rFonts w:asciiTheme="minorHAnsi" w:hAnsiTheme="minorHAnsi"/>
                <w:sz w:val="20"/>
                <w:szCs w:val="20"/>
                <w:lang w:val="en-US"/>
              </w:rPr>
              <w:t>MoEC</w:t>
            </w:r>
            <w:proofErr w:type="spellEnd"/>
            <w:r w:rsidRPr="00EE0144">
              <w:rPr>
                <w:rFonts w:asciiTheme="minorHAnsi" w:hAnsiTheme="minorHAnsi"/>
                <w:sz w:val="20"/>
                <w:szCs w:val="20"/>
                <w:lang w:val="en-US"/>
              </w:rPr>
              <w:t xml:space="preserve"> and supported by a national coordination group appointed by the Ministry of Education and Culture. </w:t>
            </w:r>
            <w:r w:rsidRPr="00BB7041">
              <w:rPr>
                <w:rFonts w:asciiTheme="minorHAnsi" w:hAnsiTheme="minorHAnsi"/>
                <w:color w:val="0070C0"/>
                <w:sz w:val="20"/>
                <w:szCs w:val="20"/>
                <w:lang w:val="en-US" w:eastAsia="ja-JP"/>
              </w:rPr>
              <w:t xml:space="preserve">The </w:t>
            </w:r>
            <w:proofErr w:type="spellStart"/>
            <w:r w:rsidR="00627AB2" w:rsidRPr="00BB7041">
              <w:rPr>
                <w:rFonts w:asciiTheme="minorHAnsi" w:hAnsiTheme="minorHAnsi"/>
                <w:color w:val="0070C0"/>
                <w:sz w:val="20"/>
                <w:szCs w:val="20"/>
                <w:lang w:val="en-US" w:eastAsia="ja-JP"/>
              </w:rPr>
              <w:t>MoSocH</w:t>
            </w:r>
            <w:proofErr w:type="spellEnd"/>
            <w:r w:rsidRPr="00BB7041">
              <w:rPr>
                <w:rFonts w:asciiTheme="minorHAnsi" w:hAnsiTheme="minorHAnsi"/>
                <w:color w:val="0070C0"/>
                <w:sz w:val="20"/>
                <w:szCs w:val="20"/>
                <w:lang w:val="en-US" w:eastAsia="ja-JP"/>
              </w:rPr>
              <w:t xml:space="preserve"> is also involved in this process.</w:t>
            </w:r>
            <w:r w:rsidRPr="00BB7041">
              <w:rPr>
                <w:sz w:val="20"/>
                <w:szCs w:val="20"/>
                <w:lang w:val="en-US" w:eastAsia="ja-JP"/>
              </w:rPr>
              <w:t xml:space="preserve"> </w:t>
            </w:r>
            <w:r w:rsidRPr="00EE0144">
              <w:rPr>
                <w:rFonts w:asciiTheme="minorHAnsi" w:hAnsiTheme="minorHAnsi"/>
                <w:sz w:val="20"/>
                <w:szCs w:val="20"/>
                <w:lang w:val="en-US"/>
              </w:rPr>
              <w:t>During this process the production of the qualifications is compared to the entrant targets and assessed in relation to the sufficiency of workforce (shortages among different professional and vocational groups, changes in professional roles and the service structure etc.).   (source: OECD Study)</w:t>
            </w:r>
          </w:p>
          <w:p w:rsidR="00AA4941" w:rsidRDefault="00AA4941" w:rsidP="007F6F1F">
            <w:pPr>
              <w:rPr>
                <w:lang w:val="en-US"/>
              </w:rPr>
            </w:pPr>
          </w:p>
        </w:tc>
        <w:tc>
          <w:tcPr>
            <w:tcW w:w="5171" w:type="dxa"/>
          </w:tcPr>
          <w:p w:rsidR="00AA4941" w:rsidRDefault="00AA4941" w:rsidP="007F6F1F">
            <w:pPr>
              <w:rPr>
                <w:lang w:val="en-US"/>
              </w:rPr>
            </w:pPr>
          </w:p>
        </w:tc>
      </w:tr>
    </w:tbl>
    <w:p w:rsidR="00484795" w:rsidRDefault="00484795">
      <w:pPr>
        <w:rPr>
          <w:b/>
          <w:lang w:val="en-US"/>
        </w:rPr>
      </w:pPr>
    </w:p>
    <w:p w:rsidR="00204266" w:rsidRDefault="00204266" w:rsidP="00204266">
      <w:pPr>
        <w:rPr>
          <w:lang w:val="en-US"/>
        </w:rPr>
      </w:pPr>
      <w:r>
        <w:rPr>
          <w:b/>
          <w:lang w:val="en-US"/>
        </w:rPr>
        <w:t>DATA ON CURRENT SITUATION</w:t>
      </w:r>
      <w:r w:rsidR="00B90C1E">
        <w:rPr>
          <w:b/>
          <w:lang w:val="en-US"/>
        </w:rPr>
        <w:t xml:space="preserve"> ON SUPPLY SIDE</w:t>
      </w:r>
      <w:r>
        <w:rPr>
          <w:lang w:val="en-US"/>
        </w:rPr>
        <w:t xml:space="preserve"> (What are the supply side data on the current stock and flow and how they are collected</w:t>
      </w:r>
      <w:r w:rsidRPr="00150F23">
        <w:rPr>
          <w:lang w:val="en-US"/>
        </w:rPr>
        <w:t>)</w:t>
      </w:r>
    </w:p>
    <w:tbl>
      <w:tblPr>
        <w:tblStyle w:val="Grigliatabella"/>
        <w:tblW w:w="0" w:type="auto"/>
        <w:tblLook w:val="04A0"/>
      </w:tblPr>
      <w:tblGrid>
        <w:gridCol w:w="3510"/>
        <w:gridCol w:w="9072"/>
        <w:gridCol w:w="1845"/>
      </w:tblGrid>
      <w:tr w:rsidR="00204266" w:rsidTr="00BB7041">
        <w:tc>
          <w:tcPr>
            <w:tcW w:w="3510" w:type="dxa"/>
          </w:tcPr>
          <w:p w:rsidR="00204266" w:rsidRPr="00130DEA" w:rsidRDefault="00204266" w:rsidP="007F6F1F">
            <w:pPr>
              <w:rPr>
                <w:b/>
                <w:lang w:val="en-US"/>
              </w:rPr>
            </w:pPr>
            <w:r>
              <w:rPr>
                <w:b/>
                <w:sz w:val="24"/>
                <w:lang w:val="en-US"/>
              </w:rPr>
              <w:t>Main aspects</w:t>
            </w:r>
          </w:p>
        </w:tc>
        <w:tc>
          <w:tcPr>
            <w:tcW w:w="9072" w:type="dxa"/>
          </w:tcPr>
          <w:p w:rsidR="00204266" w:rsidRDefault="00204266" w:rsidP="007F6F1F">
            <w:pPr>
              <w:jc w:val="center"/>
              <w:rPr>
                <w:lang w:val="en-US"/>
              </w:rPr>
            </w:pPr>
            <w:r>
              <w:rPr>
                <w:lang w:val="en-US"/>
              </w:rPr>
              <w:t>Description / Examples</w:t>
            </w:r>
          </w:p>
        </w:tc>
        <w:tc>
          <w:tcPr>
            <w:tcW w:w="1845" w:type="dxa"/>
          </w:tcPr>
          <w:p w:rsidR="00204266" w:rsidRDefault="00204266" w:rsidP="007F6F1F">
            <w:pPr>
              <w:jc w:val="center"/>
              <w:rPr>
                <w:lang w:val="en-US"/>
              </w:rPr>
            </w:pPr>
            <w:r>
              <w:rPr>
                <w:lang w:val="en-US"/>
              </w:rPr>
              <w:t>Documents</w:t>
            </w:r>
          </w:p>
        </w:tc>
      </w:tr>
      <w:tr w:rsidR="00F84CEA" w:rsidRPr="009A23DD" w:rsidTr="00BB7041">
        <w:trPr>
          <w:trHeight w:val="1290"/>
        </w:trPr>
        <w:tc>
          <w:tcPr>
            <w:tcW w:w="3510" w:type="dxa"/>
          </w:tcPr>
          <w:p w:rsidR="00F84CEA" w:rsidRPr="005213BC" w:rsidRDefault="00F84CEA" w:rsidP="00364795">
            <w:pPr>
              <w:rPr>
                <w:u w:val="single"/>
                <w:lang w:val="en-US"/>
              </w:rPr>
            </w:pPr>
            <w:r w:rsidRPr="005213BC">
              <w:rPr>
                <w:u w:val="single"/>
                <w:lang w:val="en-US"/>
              </w:rPr>
              <w:t>Data sources</w:t>
            </w:r>
          </w:p>
          <w:p w:rsidR="00F84CEA" w:rsidRDefault="00F84CEA" w:rsidP="00364795">
            <w:pPr>
              <w:rPr>
                <w:lang w:val="en-US"/>
              </w:rPr>
            </w:pPr>
          </w:p>
          <w:p w:rsidR="00F84CEA" w:rsidRDefault="00F84CEA" w:rsidP="00364795">
            <w:pPr>
              <w:rPr>
                <w:lang w:val="en-US"/>
              </w:rPr>
            </w:pPr>
            <w:r>
              <w:rPr>
                <w:lang w:val="en-US"/>
              </w:rPr>
              <w:t>Is there a unique database with data stored in for the planning purposes?</w:t>
            </w:r>
          </w:p>
          <w:p w:rsidR="00F84CEA" w:rsidRPr="00B90C1E" w:rsidRDefault="00F84CEA" w:rsidP="00B90C1E">
            <w:pPr>
              <w:rPr>
                <w:lang w:val="en-US"/>
              </w:rPr>
            </w:pPr>
          </w:p>
        </w:tc>
        <w:tc>
          <w:tcPr>
            <w:tcW w:w="9072" w:type="dxa"/>
          </w:tcPr>
          <w:p w:rsidR="00F84CEA" w:rsidRDefault="001133C7" w:rsidP="00204266">
            <w:pPr>
              <w:rPr>
                <w:sz w:val="20"/>
                <w:szCs w:val="20"/>
                <w:lang w:val="en-US"/>
              </w:rPr>
            </w:pPr>
            <w:r w:rsidRPr="00EE0144">
              <w:rPr>
                <w:sz w:val="20"/>
                <w:szCs w:val="20"/>
                <w:lang w:val="en-US"/>
              </w:rPr>
              <w:t>Thanks to the collaboration and complementarity across these multiple data collection authorities, data on HRH in Finland are complete and comprehensive. Information on the place of residence, place of work, retirement, age, gender, temporary leave and speciali</w:t>
            </w:r>
            <w:r w:rsidR="00BB7041">
              <w:rPr>
                <w:sz w:val="20"/>
                <w:szCs w:val="20"/>
                <w:lang w:val="en-US"/>
              </w:rPr>
              <w:t>z</w:t>
            </w:r>
            <w:r w:rsidRPr="00EE0144">
              <w:rPr>
                <w:sz w:val="20"/>
                <w:szCs w:val="20"/>
                <w:lang w:val="en-US"/>
              </w:rPr>
              <w:t>ation across all health and medical professions are available. Full coverage is ensured, thanks to the fact that data is collected directly at the national level. In addition, the involvement of professional registries allows Finnish authorities to have an overview of stocks and flows both in the public and in the private sector.</w:t>
            </w:r>
          </w:p>
          <w:p w:rsidR="00EE0144" w:rsidRPr="00EE0144" w:rsidRDefault="00EE0144" w:rsidP="00204266">
            <w:pPr>
              <w:rPr>
                <w:sz w:val="20"/>
                <w:szCs w:val="20"/>
                <w:lang w:val="en-US"/>
              </w:rPr>
            </w:pPr>
          </w:p>
          <w:p w:rsidR="00EE0144" w:rsidRPr="002D5A3D" w:rsidRDefault="001133C7" w:rsidP="00204266">
            <w:pPr>
              <w:rPr>
                <w:color w:val="0070C0"/>
                <w:sz w:val="20"/>
                <w:szCs w:val="20"/>
                <w:lang w:val="en-US"/>
              </w:rPr>
            </w:pPr>
            <w:r w:rsidRPr="00EE0144">
              <w:rPr>
                <w:sz w:val="20"/>
                <w:szCs w:val="20"/>
                <w:lang w:val="en-US"/>
              </w:rPr>
              <w:t>Data collected by the four main sources are then reported by the Statistical Office, which makes an extraction for the Unit of Statistics and Registers in the VALVIRA. This unit performs the analysis of the data and drafts monitoring report. (Source: Matrix’s Feasibility Study).</w:t>
            </w:r>
            <w:r w:rsidR="00BB7041">
              <w:rPr>
                <w:sz w:val="20"/>
                <w:szCs w:val="20"/>
                <w:lang w:val="en-US"/>
              </w:rPr>
              <w:t xml:space="preserve"> </w:t>
            </w:r>
            <w:r w:rsidR="00EE0144" w:rsidRPr="002D5A3D">
              <w:rPr>
                <w:color w:val="0070C0"/>
                <w:sz w:val="20"/>
                <w:szCs w:val="20"/>
                <w:lang w:val="en-US"/>
              </w:rPr>
              <w:t xml:space="preserve">This is done also at THL (National Agency for Health and Social Care) and reported to </w:t>
            </w:r>
            <w:proofErr w:type="spellStart"/>
            <w:r w:rsidR="00EE0144" w:rsidRPr="002D5A3D">
              <w:rPr>
                <w:color w:val="0070C0"/>
                <w:sz w:val="20"/>
                <w:szCs w:val="20"/>
                <w:lang w:val="en-US"/>
              </w:rPr>
              <w:t>MoSoc</w:t>
            </w:r>
            <w:r w:rsidR="00560E79" w:rsidRPr="002D5A3D">
              <w:rPr>
                <w:color w:val="0070C0"/>
                <w:sz w:val="20"/>
                <w:szCs w:val="20"/>
                <w:lang w:val="en-US"/>
              </w:rPr>
              <w:t>H</w:t>
            </w:r>
            <w:proofErr w:type="spellEnd"/>
          </w:p>
          <w:p w:rsidR="00F84CEA" w:rsidRPr="007A0389" w:rsidRDefault="00F84CEA" w:rsidP="007A0389">
            <w:pPr>
              <w:rPr>
                <w:lang w:val="en-US"/>
              </w:rPr>
            </w:pPr>
          </w:p>
        </w:tc>
        <w:tc>
          <w:tcPr>
            <w:tcW w:w="1845" w:type="dxa"/>
            <w:vMerge w:val="restart"/>
          </w:tcPr>
          <w:p w:rsidR="00F84CEA" w:rsidRDefault="00F84CEA" w:rsidP="00204266">
            <w:pPr>
              <w:rPr>
                <w:lang w:val="en-US"/>
              </w:rPr>
            </w:pPr>
          </w:p>
        </w:tc>
      </w:tr>
      <w:tr w:rsidR="00F84CEA" w:rsidRPr="009A23DD" w:rsidTr="00BB7041">
        <w:trPr>
          <w:trHeight w:val="1009"/>
        </w:trPr>
        <w:tc>
          <w:tcPr>
            <w:tcW w:w="3510" w:type="dxa"/>
          </w:tcPr>
          <w:p w:rsidR="00F84CEA" w:rsidRDefault="00F84CEA" w:rsidP="00364795">
            <w:pPr>
              <w:rPr>
                <w:lang w:val="en-US"/>
              </w:rPr>
            </w:pPr>
            <w:r>
              <w:rPr>
                <w:lang w:val="en-US"/>
              </w:rPr>
              <w:lastRenderedPageBreak/>
              <w:t>The database contains:</w:t>
            </w:r>
          </w:p>
          <w:p w:rsidR="00F84CEA" w:rsidRPr="00B90C1E" w:rsidRDefault="00F84CEA" w:rsidP="00B90C1E">
            <w:pPr>
              <w:pStyle w:val="Paragrafoelenco"/>
              <w:numPr>
                <w:ilvl w:val="0"/>
                <w:numId w:val="18"/>
              </w:numPr>
              <w:spacing w:line="240" w:lineRule="auto"/>
              <w:rPr>
                <w:lang w:val="en-US"/>
              </w:rPr>
            </w:pPr>
            <w:r w:rsidRPr="00B90C1E">
              <w:rPr>
                <w:lang w:val="en-US"/>
              </w:rPr>
              <w:t>Aggregated data</w:t>
            </w:r>
          </w:p>
          <w:p w:rsidR="00F84CEA" w:rsidRPr="00B90C1E" w:rsidRDefault="00F84CEA" w:rsidP="00B90C1E">
            <w:pPr>
              <w:pStyle w:val="Paragrafoelenco"/>
              <w:numPr>
                <w:ilvl w:val="0"/>
                <w:numId w:val="18"/>
              </w:numPr>
              <w:spacing w:line="240" w:lineRule="auto"/>
              <w:rPr>
                <w:lang w:val="en-US"/>
              </w:rPr>
            </w:pPr>
            <w:r w:rsidRPr="00B90C1E">
              <w:rPr>
                <w:lang w:val="en-US"/>
              </w:rPr>
              <w:t>Individual data</w:t>
            </w:r>
          </w:p>
          <w:p w:rsidR="00F84CEA" w:rsidRPr="005213BC" w:rsidRDefault="00F84CEA" w:rsidP="00B90C1E">
            <w:pPr>
              <w:rPr>
                <w:u w:val="single"/>
                <w:lang w:val="en-US"/>
              </w:rPr>
            </w:pPr>
          </w:p>
        </w:tc>
        <w:tc>
          <w:tcPr>
            <w:tcW w:w="9072" w:type="dxa"/>
          </w:tcPr>
          <w:p w:rsidR="00F84CEA" w:rsidRDefault="00F84CEA" w:rsidP="001D1C1B">
            <w:pPr>
              <w:pStyle w:val="Default"/>
              <w:rPr>
                <w:sz w:val="16"/>
                <w:szCs w:val="16"/>
                <w:lang w:val="en-US"/>
              </w:rPr>
            </w:pPr>
          </w:p>
          <w:p w:rsidR="00F84CEA" w:rsidRPr="00BB7041" w:rsidRDefault="00BB7041" w:rsidP="001D1C1B">
            <w:pPr>
              <w:pStyle w:val="Default"/>
              <w:rPr>
                <w:rFonts w:asciiTheme="minorHAnsi" w:hAnsiTheme="minorHAnsi" w:cstheme="minorHAnsi"/>
                <w:color w:val="0070C0"/>
                <w:sz w:val="20"/>
                <w:szCs w:val="20"/>
                <w:lang w:val="en-US"/>
              </w:rPr>
            </w:pPr>
            <w:r w:rsidRPr="00BB7041">
              <w:rPr>
                <w:rFonts w:asciiTheme="minorHAnsi" w:hAnsiTheme="minorHAnsi" w:cstheme="minorHAnsi"/>
                <w:color w:val="0070C0"/>
                <w:sz w:val="20"/>
                <w:szCs w:val="20"/>
                <w:lang w:val="en-US"/>
              </w:rPr>
              <w:t xml:space="preserve">The database is a register based on individual data collected every year. </w:t>
            </w:r>
          </w:p>
          <w:p w:rsidR="00F84CEA" w:rsidRDefault="00F84CEA" w:rsidP="001D1C1B">
            <w:pPr>
              <w:pStyle w:val="Default"/>
              <w:rPr>
                <w:sz w:val="16"/>
                <w:szCs w:val="16"/>
                <w:lang w:val="en-US"/>
              </w:rPr>
            </w:pPr>
          </w:p>
          <w:p w:rsidR="00F84CEA" w:rsidRDefault="00F84CEA" w:rsidP="001D1C1B">
            <w:pPr>
              <w:pStyle w:val="Default"/>
              <w:rPr>
                <w:sz w:val="16"/>
                <w:szCs w:val="16"/>
                <w:lang w:val="en-US"/>
              </w:rPr>
            </w:pPr>
          </w:p>
          <w:p w:rsidR="00F84CEA" w:rsidRDefault="00F84CEA" w:rsidP="007A0389">
            <w:pPr>
              <w:rPr>
                <w:lang w:val="en-US"/>
              </w:rPr>
            </w:pPr>
          </w:p>
        </w:tc>
        <w:tc>
          <w:tcPr>
            <w:tcW w:w="1845" w:type="dxa"/>
            <w:vMerge/>
          </w:tcPr>
          <w:p w:rsidR="00F84CEA" w:rsidRDefault="00F84CEA" w:rsidP="00204266">
            <w:pPr>
              <w:rPr>
                <w:lang w:val="en-US"/>
              </w:rPr>
            </w:pPr>
          </w:p>
        </w:tc>
      </w:tr>
      <w:tr w:rsidR="00F84CEA" w:rsidRPr="009A23DD" w:rsidTr="00BB7041">
        <w:trPr>
          <w:trHeight w:val="3120"/>
        </w:trPr>
        <w:tc>
          <w:tcPr>
            <w:tcW w:w="3510" w:type="dxa"/>
          </w:tcPr>
          <w:p w:rsidR="00F84CEA" w:rsidRDefault="00F84CEA" w:rsidP="00B90C1E">
            <w:pPr>
              <w:rPr>
                <w:lang w:val="en-US"/>
              </w:rPr>
            </w:pPr>
            <w:r w:rsidRPr="00B90C1E">
              <w:rPr>
                <w:lang w:val="en-US"/>
              </w:rPr>
              <w:t>Which</w:t>
            </w:r>
            <w:r>
              <w:rPr>
                <w:lang w:val="en-US"/>
              </w:rPr>
              <w:t xml:space="preserve"> are the data sources?</w:t>
            </w:r>
          </w:p>
          <w:p w:rsidR="00F84CEA" w:rsidRPr="00B90C1E" w:rsidRDefault="00F84CEA" w:rsidP="00B90C1E">
            <w:pPr>
              <w:pStyle w:val="Paragrafoelenco"/>
              <w:numPr>
                <w:ilvl w:val="0"/>
                <w:numId w:val="19"/>
              </w:numPr>
              <w:spacing w:line="240" w:lineRule="auto"/>
              <w:rPr>
                <w:lang w:val="en-US"/>
              </w:rPr>
            </w:pPr>
            <w:r w:rsidRPr="00B90C1E">
              <w:rPr>
                <w:lang w:val="en-US"/>
              </w:rPr>
              <w:t>Unique</w:t>
            </w:r>
          </w:p>
          <w:p w:rsidR="00F84CEA" w:rsidRPr="00B90C1E" w:rsidRDefault="00F84CEA" w:rsidP="00B90C1E">
            <w:pPr>
              <w:pStyle w:val="Paragrafoelenco"/>
              <w:numPr>
                <w:ilvl w:val="0"/>
                <w:numId w:val="19"/>
              </w:numPr>
              <w:spacing w:line="240" w:lineRule="auto"/>
              <w:rPr>
                <w:lang w:val="en-US"/>
              </w:rPr>
            </w:pPr>
            <w:r w:rsidRPr="00B90C1E">
              <w:rPr>
                <w:lang w:val="en-US"/>
              </w:rPr>
              <w:t>Multiple</w:t>
            </w:r>
          </w:p>
          <w:p w:rsidR="00F84CEA" w:rsidRDefault="00F84CEA" w:rsidP="00B90C1E">
            <w:pPr>
              <w:rPr>
                <w:lang w:val="en-US"/>
              </w:rPr>
            </w:pPr>
          </w:p>
          <w:p w:rsidR="00F84CEA" w:rsidRDefault="00F84CEA" w:rsidP="00B90C1E">
            <w:pPr>
              <w:rPr>
                <w:lang w:val="en-US"/>
              </w:rPr>
            </w:pPr>
          </w:p>
          <w:p w:rsidR="00F84CEA" w:rsidRDefault="00F84CEA" w:rsidP="00B90C1E">
            <w:pPr>
              <w:rPr>
                <w:lang w:val="en-US"/>
              </w:rPr>
            </w:pPr>
          </w:p>
          <w:p w:rsidR="00F84CEA" w:rsidRDefault="00F84CEA" w:rsidP="00B90C1E">
            <w:pPr>
              <w:rPr>
                <w:lang w:val="en-US"/>
              </w:rPr>
            </w:pPr>
          </w:p>
          <w:p w:rsidR="00F84CEA" w:rsidRDefault="00F84CEA" w:rsidP="00B90C1E">
            <w:pPr>
              <w:rPr>
                <w:lang w:val="en-US"/>
              </w:rPr>
            </w:pPr>
          </w:p>
          <w:p w:rsidR="00F84CEA" w:rsidRDefault="00F84CEA" w:rsidP="00B90C1E">
            <w:pPr>
              <w:rPr>
                <w:lang w:val="en-US"/>
              </w:rPr>
            </w:pPr>
          </w:p>
          <w:p w:rsidR="00F84CEA" w:rsidRDefault="00F84CEA" w:rsidP="00B90C1E">
            <w:pPr>
              <w:rPr>
                <w:lang w:val="en-US"/>
              </w:rPr>
            </w:pPr>
          </w:p>
          <w:p w:rsidR="00F84CEA" w:rsidRDefault="00F84CEA" w:rsidP="00B90C1E">
            <w:pPr>
              <w:rPr>
                <w:lang w:val="en-US"/>
              </w:rPr>
            </w:pPr>
          </w:p>
          <w:p w:rsidR="00F84CEA" w:rsidRDefault="00F84CEA" w:rsidP="00B90C1E">
            <w:pPr>
              <w:rPr>
                <w:lang w:val="en-US"/>
              </w:rPr>
            </w:pPr>
          </w:p>
        </w:tc>
        <w:tc>
          <w:tcPr>
            <w:tcW w:w="9072" w:type="dxa"/>
          </w:tcPr>
          <w:p w:rsidR="00F84CEA" w:rsidRPr="00DA1CA6" w:rsidRDefault="00F84CEA" w:rsidP="001D1C1B">
            <w:pPr>
              <w:pStyle w:val="Default"/>
              <w:rPr>
                <w:rFonts w:asciiTheme="minorHAnsi" w:hAnsiTheme="minorHAnsi"/>
                <w:sz w:val="20"/>
                <w:szCs w:val="20"/>
                <w:lang w:val="en-US"/>
              </w:rPr>
            </w:pPr>
            <w:r w:rsidRPr="00DA1CA6">
              <w:rPr>
                <w:rFonts w:asciiTheme="minorHAnsi" w:hAnsiTheme="minorHAnsi"/>
                <w:sz w:val="20"/>
                <w:szCs w:val="20"/>
                <w:lang w:val="en-US"/>
              </w:rPr>
              <w:t xml:space="preserve">Data is collected by four main sources: </w:t>
            </w:r>
          </w:p>
          <w:p w:rsidR="00DA1CA6" w:rsidRDefault="00DA1CA6" w:rsidP="001D1C1B">
            <w:pPr>
              <w:pStyle w:val="Default"/>
              <w:rPr>
                <w:rFonts w:asciiTheme="minorHAnsi" w:hAnsiTheme="minorHAnsi"/>
                <w:sz w:val="20"/>
                <w:szCs w:val="20"/>
                <w:lang w:val="en-US"/>
              </w:rPr>
            </w:pPr>
          </w:p>
          <w:p w:rsidR="00F84CEA" w:rsidRPr="00DA1CA6" w:rsidRDefault="00F84CEA" w:rsidP="001D1C1B">
            <w:pPr>
              <w:pStyle w:val="Default"/>
              <w:rPr>
                <w:rFonts w:asciiTheme="minorHAnsi" w:hAnsiTheme="minorHAnsi"/>
                <w:sz w:val="20"/>
                <w:szCs w:val="20"/>
                <w:lang w:val="en-US"/>
              </w:rPr>
            </w:pPr>
            <w:r w:rsidRPr="00DA1CA6">
              <w:rPr>
                <w:rFonts w:asciiTheme="minorHAnsi" w:hAnsiTheme="minorHAnsi"/>
                <w:sz w:val="20"/>
                <w:szCs w:val="20"/>
                <w:lang w:val="en-US"/>
              </w:rPr>
              <w:t xml:space="preserve">Statistical </w:t>
            </w:r>
            <w:r w:rsidR="00DA1CA6">
              <w:rPr>
                <w:rFonts w:asciiTheme="minorHAnsi" w:hAnsiTheme="minorHAnsi"/>
                <w:sz w:val="20"/>
                <w:szCs w:val="20"/>
                <w:lang w:val="en-US"/>
              </w:rPr>
              <w:t>O</w:t>
            </w:r>
            <w:r w:rsidRPr="00DA1CA6">
              <w:rPr>
                <w:rFonts w:asciiTheme="minorHAnsi" w:hAnsiTheme="minorHAnsi"/>
                <w:sz w:val="20"/>
                <w:szCs w:val="20"/>
                <w:lang w:val="en-US"/>
              </w:rPr>
              <w:t xml:space="preserve">ffice </w:t>
            </w:r>
            <w:r w:rsidR="00DA1CA6" w:rsidRPr="00DA1CA6">
              <w:rPr>
                <w:rFonts w:asciiTheme="minorHAnsi" w:hAnsiTheme="minorHAnsi"/>
                <w:color w:val="4F81BD" w:themeColor="accent1"/>
                <w:sz w:val="20"/>
                <w:szCs w:val="20"/>
                <w:lang w:val="en-US"/>
              </w:rPr>
              <w:t>(</w:t>
            </w:r>
            <w:r w:rsidR="00DA1CA6" w:rsidRPr="00472B49">
              <w:rPr>
                <w:rFonts w:asciiTheme="minorHAnsi" w:hAnsiTheme="minorHAnsi"/>
                <w:color w:val="0070C0"/>
                <w:sz w:val="20"/>
                <w:szCs w:val="20"/>
                <w:lang w:val="en-US"/>
              </w:rPr>
              <w:t>Statistics Finland</w:t>
            </w:r>
            <w:r w:rsidR="00DA1CA6" w:rsidRPr="00DA1CA6">
              <w:rPr>
                <w:rFonts w:asciiTheme="minorHAnsi" w:hAnsiTheme="minorHAnsi"/>
                <w:color w:val="4F81BD" w:themeColor="accent1"/>
                <w:sz w:val="20"/>
                <w:szCs w:val="20"/>
                <w:lang w:val="en-US"/>
              </w:rPr>
              <w:t>)</w:t>
            </w:r>
            <w:r w:rsidRPr="00DA1CA6">
              <w:rPr>
                <w:rFonts w:asciiTheme="minorHAnsi" w:hAnsiTheme="minorHAnsi"/>
                <w:sz w:val="20"/>
                <w:szCs w:val="20"/>
                <w:lang w:val="en-US"/>
              </w:rPr>
              <w:t xml:space="preserve">collects demographic data, as everyone has to have a registered address with their PIN number. Contains data on age, gender, place of residence. The statistical </w:t>
            </w:r>
            <w:r w:rsidR="00DA1CA6">
              <w:rPr>
                <w:rFonts w:asciiTheme="minorHAnsi" w:hAnsiTheme="minorHAnsi"/>
                <w:sz w:val="20"/>
                <w:szCs w:val="20"/>
                <w:lang w:val="en-US"/>
              </w:rPr>
              <w:t>O</w:t>
            </w:r>
            <w:r w:rsidRPr="00DA1CA6">
              <w:rPr>
                <w:rFonts w:asciiTheme="minorHAnsi" w:hAnsiTheme="minorHAnsi"/>
                <w:sz w:val="20"/>
                <w:szCs w:val="20"/>
                <w:lang w:val="en-US"/>
              </w:rPr>
              <w:t xml:space="preserve">ffice also compiles data based on tax reports; these include variables such as income, place of work, employment record and social security benefits. </w:t>
            </w:r>
          </w:p>
          <w:p w:rsidR="00DA1CA6" w:rsidRDefault="00DA1CA6" w:rsidP="001D1C1B">
            <w:pPr>
              <w:pStyle w:val="Default"/>
              <w:rPr>
                <w:rFonts w:asciiTheme="minorHAnsi" w:hAnsiTheme="minorHAnsi"/>
                <w:sz w:val="20"/>
                <w:szCs w:val="20"/>
                <w:lang w:val="en-US"/>
              </w:rPr>
            </w:pPr>
          </w:p>
          <w:p w:rsidR="00F84CEA" w:rsidRDefault="00F84CEA" w:rsidP="001D1C1B">
            <w:pPr>
              <w:pStyle w:val="Default"/>
              <w:rPr>
                <w:rFonts w:asciiTheme="minorHAnsi" w:hAnsiTheme="minorHAnsi"/>
                <w:sz w:val="20"/>
                <w:szCs w:val="20"/>
                <w:lang w:val="en-US"/>
              </w:rPr>
            </w:pPr>
            <w:r w:rsidRPr="00DA1CA6">
              <w:rPr>
                <w:rFonts w:asciiTheme="minorHAnsi" w:hAnsiTheme="minorHAnsi"/>
                <w:sz w:val="20"/>
                <w:szCs w:val="20"/>
                <w:lang w:val="en-US"/>
              </w:rPr>
              <w:t>National Supervisory Authority for Welfare and Health (VALVIRA) under the Ministry of Health and Social Affairs collects information about the health care authori</w:t>
            </w:r>
            <w:r w:rsidR="00DA1CA6">
              <w:rPr>
                <w:rFonts w:asciiTheme="minorHAnsi" w:hAnsiTheme="minorHAnsi"/>
                <w:sz w:val="20"/>
                <w:szCs w:val="20"/>
                <w:lang w:val="en-US"/>
              </w:rPr>
              <w:t>z</w:t>
            </w:r>
            <w:r w:rsidRPr="00DA1CA6">
              <w:rPr>
                <w:rFonts w:asciiTheme="minorHAnsi" w:hAnsiTheme="minorHAnsi"/>
                <w:sz w:val="20"/>
                <w:szCs w:val="20"/>
                <w:lang w:val="en-US"/>
              </w:rPr>
              <w:t xml:space="preserve">ations and licensing of all health care personnel in Finland. </w:t>
            </w:r>
            <w:hyperlink r:id="rId21" w:history="1">
              <w:r w:rsidR="00DA1CA6" w:rsidRPr="00FE3539">
                <w:rPr>
                  <w:rStyle w:val="Collegamentoipertestuale"/>
                  <w:rFonts w:asciiTheme="minorHAnsi" w:hAnsiTheme="minorHAnsi"/>
                  <w:sz w:val="20"/>
                  <w:szCs w:val="20"/>
                  <w:lang w:val="en-US"/>
                </w:rPr>
                <w:t>http://www.valvira.fi/en/</w:t>
              </w:r>
            </w:hyperlink>
          </w:p>
          <w:p w:rsidR="00DA1CA6" w:rsidRDefault="00DA1CA6" w:rsidP="00DA1CA6">
            <w:pPr>
              <w:rPr>
                <w:sz w:val="20"/>
                <w:szCs w:val="20"/>
                <w:lang w:val="en-US"/>
              </w:rPr>
            </w:pPr>
          </w:p>
          <w:p w:rsidR="00F84CEA" w:rsidRDefault="00F84CEA" w:rsidP="00DA1CA6">
            <w:pPr>
              <w:rPr>
                <w:sz w:val="20"/>
                <w:szCs w:val="20"/>
                <w:lang w:val="en-US"/>
              </w:rPr>
            </w:pPr>
            <w:r w:rsidRPr="00DA1CA6">
              <w:rPr>
                <w:sz w:val="20"/>
                <w:szCs w:val="20"/>
                <w:lang w:val="en-US"/>
              </w:rPr>
              <w:t xml:space="preserve">Finnish medical association and Finnish dental association together with the </w:t>
            </w:r>
            <w:r w:rsidR="00BB7041">
              <w:rPr>
                <w:sz w:val="20"/>
                <w:szCs w:val="20"/>
                <w:lang w:val="en-US"/>
              </w:rPr>
              <w:t>KT</w:t>
            </w:r>
            <w:r w:rsidRPr="00DA1CA6">
              <w:rPr>
                <w:sz w:val="20"/>
                <w:szCs w:val="20"/>
                <w:lang w:val="en-US"/>
              </w:rPr>
              <w:t xml:space="preserve"> collect information on physician and dentist shortages in municipal health </w:t>
            </w:r>
            <w:proofErr w:type="spellStart"/>
            <w:r w:rsidRPr="00DA1CA6">
              <w:rPr>
                <w:sz w:val="20"/>
                <w:szCs w:val="20"/>
                <w:lang w:val="en-US"/>
              </w:rPr>
              <w:t>centres</w:t>
            </w:r>
            <w:proofErr w:type="spellEnd"/>
            <w:r w:rsidRPr="00DA1CA6">
              <w:rPr>
                <w:sz w:val="20"/>
                <w:szCs w:val="20"/>
                <w:lang w:val="en-US"/>
              </w:rPr>
              <w:t>.</w:t>
            </w:r>
            <w:r w:rsidR="00DA1CA6">
              <w:rPr>
                <w:sz w:val="20"/>
                <w:szCs w:val="20"/>
                <w:lang w:val="en-US"/>
              </w:rPr>
              <w:t>(</w:t>
            </w:r>
            <w:hyperlink r:id="rId22" w:history="1">
              <w:r w:rsidR="00DA1CA6" w:rsidRPr="00FE3539">
                <w:rPr>
                  <w:rStyle w:val="Collegamentoipertestuale"/>
                  <w:sz w:val="20"/>
                  <w:szCs w:val="20"/>
                  <w:lang w:val="en-US"/>
                </w:rPr>
                <w:t>http://www.laakariliitto.fi/en/</w:t>
              </w:r>
            </w:hyperlink>
            <w:r w:rsidR="00DA1CA6">
              <w:rPr>
                <w:sz w:val="20"/>
                <w:szCs w:val="20"/>
                <w:lang w:val="en-US"/>
              </w:rPr>
              <w:t xml:space="preserve"> and </w:t>
            </w:r>
            <w:hyperlink r:id="rId23" w:history="1">
              <w:r w:rsidR="00DA1CA6" w:rsidRPr="00FE3539">
                <w:rPr>
                  <w:rStyle w:val="Collegamentoipertestuale"/>
                  <w:sz w:val="20"/>
                  <w:szCs w:val="20"/>
                  <w:lang w:val="en-US"/>
                </w:rPr>
                <w:t>http://www.hammaslaakariliitto.fi/index.php?id=6404</w:t>
              </w:r>
            </w:hyperlink>
          </w:p>
          <w:p w:rsidR="00DA1CA6" w:rsidRPr="00DA1CA6" w:rsidRDefault="00DA1CA6" w:rsidP="00DA1CA6">
            <w:pPr>
              <w:rPr>
                <w:sz w:val="20"/>
                <w:szCs w:val="20"/>
                <w:lang w:val="en-US"/>
              </w:rPr>
            </w:pPr>
          </w:p>
          <w:p w:rsidR="00F84CEA" w:rsidRDefault="00F84CEA" w:rsidP="001D1C1B">
            <w:pPr>
              <w:pStyle w:val="Default"/>
              <w:rPr>
                <w:rFonts w:asciiTheme="minorHAnsi" w:hAnsiTheme="minorHAnsi"/>
                <w:sz w:val="20"/>
                <w:szCs w:val="20"/>
                <w:lang w:val="en-US"/>
              </w:rPr>
            </w:pPr>
            <w:r w:rsidRPr="00DA1CA6">
              <w:rPr>
                <w:rFonts w:asciiTheme="minorHAnsi" w:hAnsiTheme="minorHAnsi"/>
                <w:sz w:val="20"/>
                <w:szCs w:val="20"/>
                <w:lang w:val="en-US"/>
              </w:rPr>
              <w:t>Finnish medical association provide extra detailed data on speciali</w:t>
            </w:r>
            <w:r w:rsidR="00DA1CA6">
              <w:rPr>
                <w:rFonts w:asciiTheme="minorHAnsi" w:hAnsiTheme="minorHAnsi"/>
                <w:sz w:val="20"/>
                <w:szCs w:val="20"/>
                <w:lang w:val="en-US"/>
              </w:rPr>
              <w:t>z</w:t>
            </w:r>
            <w:r w:rsidRPr="00DA1CA6">
              <w:rPr>
                <w:rFonts w:asciiTheme="minorHAnsi" w:hAnsiTheme="minorHAnsi"/>
                <w:sz w:val="20"/>
                <w:szCs w:val="20"/>
                <w:lang w:val="en-US"/>
              </w:rPr>
              <w:t xml:space="preserve">ation which clarifies in particular what </w:t>
            </w:r>
            <w:proofErr w:type="spellStart"/>
            <w:r w:rsidRPr="00DA1CA6">
              <w:rPr>
                <w:rFonts w:asciiTheme="minorHAnsi" w:hAnsiTheme="minorHAnsi"/>
                <w:sz w:val="20"/>
                <w:szCs w:val="20"/>
                <w:lang w:val="en-US"/>
              </w:rPr>
              <w:t>specialisation</w:t>
            </w:r>
            <w:proofErr w:type="spellEnd"/>
            <w:r w:rsidRPr="00DA1CA6">
              <w:rPr>
                <w:rFonts w:asciiTheme="minorHAnsi" w:hAnsiTheme="minorHAnsi"/>
                <w:sz w:val="20"/>
                <w:szCs w:val="20"/>
                <w:lang w:val="en-US"/>
              </w:rPr>
              <w:t xml:space="preserve"> an particular doctor is actually </w:t>
            </w:r>
            <w:proofErr w:type="spellStart"/>
            <w:r w:rsidRPr="00DA1CA6">
              <w:rPr>
                <w:rFonts w:asciiTheme="minorHAnsi" w:hAnsiTheme="minorHAnsi"/>
                <w:sz w:val="20"/>
                <w:szCs w:val="20"/>
                <w:lang w:val="en-US"/>
              </w:rPr>
              <w:t>practising</w:t>
            </w:r>
            <w:proofErr w:type="spellEnd"/>
            <w:r w:rsidRPr="00DA1CA6">
              <w:rPr>
                <w:rFonts w:asciiTheme="minorHAnsi" w:hAnsiTheme="minorHAnsi"/>
                <w:sz w:val="20"/>
                <w:szCs w:val="20"/>
                <w:lang w:val="en-US"/>
              </w:rPr>
              <w:t xml:space="preserve"> in, in case he holds multiple qualifications. </w:t>
            </w:r>
          </w:p>
          <w:p w:rsidR="00DA1CA6" w:rsidRPr="00DA1CA6" w:rsidRDefault="00DA1CA6" w:rsidP="001D1C1B">
            <w:pPr>
              <w:pStyle w:val="Default"/>
              <w:rPr>
                <w:rFonts w:asciiTheme="minorHAnsi" w:hAnsiTheme="minorHAnsi"/>
                <w:sz w:val="20"/>
                <w:szCs w:val="20"/>
                <w:lang w:val="en-US"/>
              </w:rPr>
            </w:pPr>
          </w:p>
          <w:p w:rsidR="00F84CEA" w:rsidRDefault="00F84CEA" w:rsidP="001D1C1B">
            <w:pPr>
              <w:pStyle w:val="Default"/>
              <w:rPr>
                <w:rFonts w:asciiTheme="minorHAnsi" w:hAnsiTheme="minorHAnsi"/>
                <w:sz w:val="20"/>
                <w:szCs w:val="20"/>
                <w:lang w:val="en-US"/>
              </w:rPr>
            </w:pPr>
            <w:r w:rsidRPr="00DA1CA6">
              <w:rPr>
                <w:rFonts w:asciiTheme="minorHAnsi" w:hAnsiTheme="minorHAnsi"/>
                <w:sz w:val="20"/>
                <w:szCs w:val="20"/>
                <w:lang w:val="en-US"/>
              </w:rPr>
              <w:t xml:space="preserve">The </w:t>
            </w:r>
            <w:r w:rsidR="00BB7041">
              <w:rPr>
                <w:rFonts w:asciiTheme="minorHAnsi" w:hAnsiTheme="minorHAnsi"/>
                <w:sz w:val="20"/>
                <w:szCs w:val="20"/>
                <w:lang w:val="en-US"/>
              </w:rPr>
              <w:t>KT</w:t>
            </w:r>
            <w:r w:rsidRPr="00DA1CA6">
              <w:rPr>
                <w:rFonts w:asciiTheme="minorHAnsi" w:hAnsiTheme="minorHAnsi"/>
                <w:sz w:val="20"/>
                <w:szCs w:val="20"/>
                <w:lang w:val="en-US"/>
              </w:rPr>
              <w:t xml:space="preserve"> makes assessments every two or three years on the shortages of other professional and vocational groups in municipal social and health care. These assessments are carried out in collaboration with the </w:t>
            </w:r>
            <w:proofErr w:type="spellStart"/>
            <w:r w:rsidR="00627AB2">
              <w:rPr>
                <w:rFonts w:asciiTheme="minorHAnsi" w:hAnsiTheme="minorHAnsi"/>
                <w:sz w:val="20"/>
                <w:szCs w:val="20"/>
                <w:lang w:val="en-US"/>
              </w:rPr>
              <w:t>MoSocH</w:t>
            </w:r>
            <w:proofErr w:type="spellEnd"/>
            <w:r w:rsidRPr="00DA1CA6">
              <w:rPr>
                <w:rFonts w:asciiTheme="minorHAnsi" w:hAnsiTheme="minorHAnsi"/>
                <w:sz w:val="20"/>
                <w:szCs w:val="20"/>
                <w:lang w:val="en-US"/>
              </w:rPr>
              <w:t xml:space="preserve"> and are based on questionnaires answered by municipal health and social care organizations. (Source: Matrix’s Feasibility Study).</w:t>
            </w:r>
            <w:hyperlink r:id="rId24" w:history="1">
              <w:r w:rsidR="00DA1CA6" w:rsidRPr="00FE3539">
                <w:rPr>
                  <w:rStyle w:val="Collegamentoipertestuale"/>
                  <w:rFonts w:asciiTheme="minorHAnsi" w:hAnsiTheme="minorHAnsi"/>
                  <w:sz w:val="20"/>
                  <w:szCs w:val="20"/>
                  <w:lang w:val="en-US"/>
                </w:rPr>
                <w:t>http://www.kuntatyonantajat.fi/en/Pages/default.aspx</w:t>
              </w:r>
            </w:hyperlink>
          </w:p>
          <w:p w:rsidR="00DA1CA6" w:rsidRPr="00DA1CA6" w:rsidRDefault="00DA1CA6" w:rsidP="001D1C1B">
            <w:pPr>
              <w:pStyle w:val="Default"/>
              <w:rPr>
                <w:rFonts w:asciiTheme="minorHAnsi" w:hAnsiTheme="minorHAnsi"/>
                <w:sz w:val="20"/>
                <w:szCs w:val="20"/>
                <w:lang w:val="en-US"/>
              </w:rPr>
            </w:pPr>
          </w:p>
          <w:p w:rsidR="00F84CEA" w:rsidRDefault="00F84CEA" w:rsidP="007A0389">
            <w:pPr>
              <w:rPr>
                <w:sz w:val="16"/>
                <w:szCs w:val="16"/>
                <w:lang w:val="en-US"/>
              </w:rPr>
            </w:pPr>
          </w:p>
        </w:tc>
        <w:tc>
          <w:tcPr>
            <w:tcW w:w="1845" w:type="dxa"/>
            <w:vMerge/>
          </w:tcPr>
          <w:p w:rsidR="00F84CEA" w:rsidRDefault="00F84CEA" w:rsidP="00204266">
            <w:pPr>
              <w:rPr>
                <w:lang w:val="en-US"/>
              </w:rPr>
            </w:pPr>
          </w:p>
        </w:tc>
      </w:tr>
      <w:tr w:rsidR="00F84CEA" w:rsidRPr="009A23DD" w:rsidTr="00BB7041">
        <w:trPr>
          <w:trHeight w:val="1380"/>
        </w:trPr>
        <w:tc>
          <w:tcPr>
            <w:tcW w:w="3510" w:type="dxa"/>
          </w:tcPr>
          <w:p w:rsidR="00F84CEA" w:rsidRDefault="00F84CEA" w:rsidP="00B90C1E">
            <w:pPr>
              <w:rPr>
                <w:lang w:val="en-US"/>
              </w:rPr>
            </w:pPr>
          </w:p>
          <w:p w:rsidR="00F84CEA" w:rsidRDefault="00F84CEA" w:rsidP="00B90C1E">
            <w:pPr>
              <w:rPr>
                <w:lang w:val="en-US"/>
              </w:rPr>
            </w:pPr>
            <w:r>
              <w:rPr>
                <w:lang w:val="en-US"/>
              </w:rPr>
              <w:t>Who reports the data?</w:t>
            </w:r>
          </w:p>
          <w:p w:rsidR="00F84CEA" w:rsidRPr="00B90C1E" w:rsidRDefault="00F84CEA" w:rsidP="00B90C1E">
            <w:pPr>
              <w:rPr>
                <w:lang w:val="en-US"/>
              </w:rPr>
            </w:pPr>
          </w:p>
        </w:tc>
        <w:tc>
          <w:tcPr>
            <w:tcW w:w="9072" w:type="dxa"/>
          </w:tcPr>
          <w:p w:rsidR="00F84CEA" w:rsidRDefault="00F84CEA" w:rsidP="001D1C1B">
            <w:pPr>
              <w:pStyle w:val="Default"/>
              <w:rPr>
                <w:sz w:val="16"/>
                <w:szCs w:val="16"/>
                <w:lang w:val="en-US"/>
              </w:rPr>
            </w:pPr>
          </w:p>
          <w:p w:rsidR="00F84CEA" w:rsidRPr="00DA1CA6" w:rsidRDefault="00F84CEA" w:rsidP="001D1C1B">
            <w:pPr>
              <w:pStyle w:val="Default"/>
              <w:rPr>
                <w:rFonts w:asciiTheme="minorHAnsi" w:hAnsiTheme="minorHAnsi" w:cstheme="minorHAnsi"/>
                <w:sz w:val="20"/>
                <w:szCs w:val="20"/>
                <w:lang w:val="en-US"/>
              </w:rPr>
            </w:pPr>
            <w:r w:rsidRPr="00DA1CA6">
              <w:rPr>
                <w:rFonts w:asciiTheme="minorHAnsi" w:hAnsiTheme="minorHAnsi" w:cstheme="minorHAnsi"/>
                <w:sz w:val="20"/>
                <w:szCs w:val="20"/>
                <w:lang w:val="en-US"/>
              </w:rPr>
              <w:t>Medical professionals through authori</w:t>
            </w:r>
            <w:r w:rsidR="00472B49">
              <w:rPr>
                <w:rFonts w:asciiTheme="minorHAnsi" w:hAnsiTheme="minorHAnsi" w:cstheme="minorHAnsi"/>
                <w:sz w:val="20"/>
                <w:szCs w:val="20"/>
                <w:lang w:val="en-US"/>
              </w:rPr>
              <w:t>z</w:t>
            </w:r>
            <w:r w:rsidRPr="00DA1CA6">
              <w:rPr>
                <w:rFonts w:asciiTheme="minorHAnsi" w:hAnsiTheme="minorHAnsi" w:cstheme="minorHAnsi"/>
                <w:sz w:val="20"/>
                <w:szCs w:val="20"/>
                <w:lang w:val="en-US"/>
              </w:rPr>
              <w:t>ation</w:t>
            </w:r>
          </w:p>
          <w:p w:rsidR="00F84CEA" w:rsidRPr="00DA1CA6" w:rsidRDefault="00F84CEA" w:rsidP="001D1C1B">
            <w:pPr>
              <w:pStyle w:val="Default"/>
              <w:rPr>
                <w:rFonts w:asciiTheme="minorHAnsi" w:hAnsiTheme="minorHAnsi" w:cstheme="minorHAnsi"/>
                <w:sz w:val="20"/>
                <w:szCs w:val="20"/>
                <w:lang w:val="en-US"/>
              </w:rPr>
            </w:pPr>
            <w:r w:rsidRPr="00DA1CA6">
              <w:rPr>
                <w:rFonts w:asciiTheme="minorHAnsi" w:hAnsiTheme="minorHAnsi" w:cstheme="minorHAnsi"/>
                <w:sz w:val="20"/>
                <w:szCs w:val="20"/>
                <w:lang w:val="en-US"/>
              </w:rPr>
              <w:t xml:space="preserve">Employers through tax and wages reports </w:t>
            </w:r>
          </w:p>
          <w:p w:rsidR="00F84CEA" w:rsidRPr="00DA1CA6" w:rsidRDefault="00F84CEA" w:rsidP="00204266">
            <w:pPr>
              <w:rPr>
                <w:rFonts w:cstheme="minorHAnsi"/>
                <w:sz w:val="20"/>
                <w:szCs w:val="20"/>
                <w:lang w:val="en-US"/>
              </w:rPr>
            </w:pPr>
            <w:r w:rsidRPr="00DA1CA6">
              <w:rPr>
                <w:rFonts w:cstheme="minorHAnsi"/>
                <w:sz w:val="20"/>
                <w:szCs w:val="20"/>
                <w:lang w:val="en-US"/>
              </w:rPr>
              <w:t xml:space="preserve">Hospitals and health </w:t>
            </w:r>
            <w:proofErr w:type="spellStart"/>
            <w:r w:rsidRPr="00DA1CA6">
              <w:rPr>
                <w:rFonts w:cstheme="minorHAnsi"/>
                <w:sz w:val="20"/>
                <w:szCs w:val="20"/>
                <w:lang w:val="en-US"/>
              </w:rPr>
              <w:t>centres</w:t>
            </w:r>
            <w:proofErr w:type="spellEnd"/>
            <w:r w:rsidRPr="00DA1CA6">
              <w:rPr>
                <w:rFonts w:cstheme="minorHAnsi"/>
                <w:sz w:val="20"/>
                <w:szCs w:val="20"/>
                <w:lang w:val="en-US"/>
              </w:rPr>
              <w:t xml:space="preserve"> in relation to annual survey on positions and vacancies performed by the medical and dental associations of Finland  </w:t>
            </w:r>
            <w:r w:rsidR="00DA1CA6" w:rsidRPr="00DA1CA6">
              <w:rPr>
                <w:rFonts w:cstheme="minorHAnsi"/>
                <w:color w:val="4F81BD" w:themeColor="accent1"/>
                <w:sz w:val="20"/>
                <w:szCs w:val="20"/>
                <w:lang w:val="en-US"/>
              </w:rPr>
              <w:t>(all this is reported to Statistics Finland</w:t>
            </w:r>
            <w:r w:rsidR="00DA1CA6">
              <w:rPr>
                <w:rFonts w:cstheme="minorHAnsi"/>
                <w:color w:val="4F81BD" w:themeColor="accent1"/>
                <w:sz w:val="20"/>
                <w:szCs w:val="20"/>
                <w:lang w:val="en-US"/>
              </w:rPr>
              <w:t xml:space="preserve"> who makes the yearly data base</w:t>
            </w:r>
            <w:r w:rsidR="00DA1CA6" w:rsidRPr="00DA1CA6">
              <w:rPr>
                <w:rFonts w:cstheme="minorHAnsi"/>
                <w:color w:val="4F81BD" w:themeColor="accent1"/>
                <w:sz w:val="20"/>
                <w:szCs w:val="20"/>
                <w:lang w:val="en-US"/>
              </w:rPr>
              <w:t>)</w:t>
            </w:r>
            <w:r w:rsidRPr="00DA1CA6">
              <w:rPr>
                <w:rFonts w:cstheme="minorHAnsi"/>
                <w:sz w:val="20"/>
                <w:szCs w:val="20"/>
                <w:lang w:val="en-US"/>
              </w:rPr>
              <w:t>(Source: Matrix’s Feasibility Study).</w:t>
            </w:r>
          </w:p>
          <w:p w:rsidR="00F84CEA" w:rsidRPr="00927CC1" w:rsidRDefault="00F84CEA" w:rsidP="007A0389">
            <w:pPr>
              <w:rPr>
                <w:sz w:val="16"/>
                <w:szCs w:val="16"/>
                <w:lang w:val="en-US"/>
              </w:rPr>
            </w:pPr>
          </w:p>
        </w:tc>
        <w:tc>
          <w:tcPr>
            <w:tcW w:w="1845" w:type="dxa"/>
            <w:vMerge/>
          </w:tcPr>
          <w:p w:rsidR="00F84CEA" w:rsidRDefault="00F84CEA" w:rsidP="00204266">
            <w:pPr>
              <w:rPr>
                <w:lang w:val="en-US"/>
              </w:rPr>
            </w:pPr>
          </w:p>
        </w:tc>
      </w:tr>
      <w:tr w:rsidR="00204266" w:rsidTr="00BB7041">
        <w:tc>
          <w:tcPr>
            <w:tcW w:w="3510" w:type="dxa"/>
          </w:tcPr>
          <w:p w:rsidR="00204266" w:rsidRPr="007A0389" w:rsidRDefault="00204266" w:rsidP="007A0389">
            <w:pPr>
              <w:rPr>
                <w:u w:val="single"/>
                <w:lang w:val="en-US"/>
              </w:rPr>
            </w:pPr>
            <w:r w:rsidRPr="007A0389">
              <w:rPr>
                <w:u w:val="single"/>
                <w:lang w:val="en-US"/>
              </w:rPr>
              <w:t>Timely Data</w:t>
            </w:r>
          </w:p>
          <w:p w:rsidR="00204266" w:rsidRDefault="00B90C1E" w:rsidP="00B90C1E">
            <w:pPr>
              <w:rPr>
                <w:lang w:val="en-US"/>
              </w:rPr>
            </w:pPr>
            <w:r>
              <w:rPr>
                <w:lang w:val="en-US"/>
              </w:rPr>
              <w:t xml:space="preserve">Now you are working on supply side data </w:t>
            </w:r>
            <w:r w:rsidR="0067614A">
              <w:rPr>
                <w:lang w:val="en-US"/>
              </w:rPr>
              <w:t>regarding which year?</w:t>
            </w:r>
          </w:p>
          <w:p w:rsidR="0067614A" w:rsidRDefault="0067614A" w:rsidP="0067614A">
            <w:pPr>
              <w:pStyle w:val="Paragrafoelenco"/>
              <w:numPr>
                <w:ilvl w:val="0"/>
                <w:numId w:val="25"/>
              </w:numPr>
              <w:spacing w:line="240" w:lineRule="auto"/>
              <w:rPr>
                <w:lang w:val="en-US"/>
              </w:rPr>
            </w:pPr>
            <w:r>
              <w:rPr>
                <w:lang w:val="en-US"/>
              </w:rPr>
              <w:lastRenderedPageBreak/>
              <w:t>2014</w:t>
            </w:r>
          </w:p>
          <w:p w:rsidR="0067614A" w:rsidRDefault="0067614A" w:rsidP="0067614A">
            <w:pPr>
              <w:pStyle w:val="Paragrafoelenco"/>
              <w:numPr>
                <w:ilvl w:val="0"/>
                <w:numId w:val="25"/>
              </w:numPr>
              <w:spacing w:line="240" w:lineRule="auto"/>
              <w:rPr>
                <w:lang w:val="en-US"/>
              </w:rPr>
            </w:pPr>
            <w:r>
              <w:rPr>
                <w:lang w:val="en-US"/>
              </w:rPr>
              <w:t>2013</w:t>
            </w:r>
          </w:p>
          <w:p w:rsidR="0067614A" w:rsidRDefault="0067614A" w:rsidP="0067614A">
            <w:pPr>
              <w:pStyle w:val="Paragrafoelenco"/>
              <w:numPr>
                <w:ilvl w:val="0"/>
                <w:numId w:val="25"/>
              </w:numPr>
              <w:spacing w:line="240" w:lineRule="auto"/>
              <w:rPr>
                <w:lang w:val="en-US"/>
              </w:rPr>
            </w:pPr>
            <w:r>
              <w:rPr>
                <w:lang w:val="en-US"/>
              </w:rPr>
              <w:t>…</w:t>
            </w:r>
          </w:p>
          <w:p w:rsidR="0067614A" w:rsidRPr="0067614A" w:rsidRDefault="0067614A" w:rsidP="0067614A">
            <w:pPr>
              <w:pStyle w:val="Paragrafoelenco"/>
              <w:spacing w:line="240" w:lineRule="auto"/>
              <w:ind w:left="360"/>
              <w:rPr>
                <w:lang w:val="en-US"/>
              </w:rPr>
            </w:pPr>
          </w:p>
        </w:tc>
        <w:tc>
          <w:tcPr>
            <w:tcW w:w="9072" w:type="dxa"/>
          </w:tcPr>
          <w:p w:rsidR="00204266" w:rsidRDefault="00204266" w:rsidP="00204266">
            <w:pPr>
              <w:rPr>
                <w:lang w:val="en-US"/>
              </w:rPr>
            </w:pPr>
          </w:p>
        </w:tc>
        <w:tc>
          <w:tcPr>
            <w:tcW w:w="1845" w:type="dxa"/>
          </w:tcPr>
          <w:p w:rsidR="00204266" w:rsidRDefault="00204266" w:rsidP="00204266">
            <w:pPr>
              <w:rPr>
                <w:lang w:val="en-US"/>
              </w:rPr>
            </w:pPr>
          </w:p>
        </w:tc>
      </w:tr>
      <w:tr w:rsidR="00204266" w:rsidRPr="009A23DD" w:rsidTr="00BB7041">
        <w:tc>
          <w:tcPr>
            <w:tcW w:w="3510" w:type="dxa"/>
          </w:tcPr>
          <w:p w:rsidR="00B90C1E" w:rsidRPr="00B90C1E" w:rsidRDefault="00B90C1E" w:rsidP="00B90C1E">
            <w:pPr>
              <w:rPr>
                <w:u w:val="single"/>
                <w:lang w:val="en-US"/>
              </w:rPr>
            </w:pPr>
            <w:r w:rsidRPr="00B90C1E">
              <w:rPr>
                <w:u w:val="single"/>
                <w:lang w:val="en-US"/>
              </w:rPr>
              <w:lastRenderedPageBreak/>
              <w:t>Data collection</w:t>
            </w:r>
          </w:p>
          <w:p w:rsidR="00204266" w:rsidRDefault="0067614A" w:rsidP="00B90C1E">
            <w:pPr>
              <w:rPr>
                <w:lang w:val="en-US"/>
              </w:rPr>
            </w:pPr>
            <w:r>
              <w:rPr>
                <w:lang w:val="en-US"/>
              </w:rPr>
              <w:t xml:space="preserve">Which </w:t>
            </w:r>
            <w:r w:rsidR="00B90C1E">
              <w:rPr>
                <w:lang w:val="en-US"/>
              </w:rPr>
              <w:t>I</w:t>
            </w:r>
            <w:r w:rsidR="00204266">
              <w:rPr>
                <w:lang w:val="en-US"/>
              </w:rPr>
              <w:t xml:space="preserve">s the data </w:t>
            </w:r>
            <w:r>
              <w:rPr>
                <w:lang w:val="en-US"/>
              </w:rPr>
              <w:t>collection main purpose?</w:t>
            </w:r>
          </w:p>
          <w:p w:rsidR="0067614A" w:rsidRDefault="0067614A" w:rsidP="00B90C1E">
            <w:pPr>
              <w:rPr>
                <w:lang w:val="en-US"/>
              </w:rPr>
            </w:pPr>
          </w:p>
          <w:p w:rsidR="00204266" w:rsidRPr="00B90C1E" w:rsidRDefault="00204266" w:rsidP="00B90C1E">
            <w:pPr>
              <w:pStyle w:val="Paragrafoelenco"/>
              <w:numPr>
                <w:ilvl w:val="0"/>
                <w:numId w:val="21"/>
              </w:numPr>
              <w:spacing w:line="240" w:lineRule="auto"/>
              <w:rPr>
                <w:lang w:val="en-US"/>
              </w:rPr>
            </w:pPr>
            <w:r w:rsidRPr="00B90C1E">
              <w:rPr>
                <w:lang w:val="en-US"/>
              </w:rPr>
              <w:t>Specifically for planning</w:t>
            </w:r>
          </w:p>
          <w:p w:rsidR="00204266" w:rsidRDefault="00204266" w:rsidP="00B90C1E">
            <w:pPr>
              <w:pStyle w:val="Paragrafoelenco"/>
              <w:numPr>
                <w:ilvl w:val="0"/>
                <w:numId w:val="21"/>
              </w:numPr>
              <w:spacing w:line="240" w:lineRule="auto"/>
              <w:rPr>
                <w:lang w:val="en-US"/>
              </w:rPr>
            </w:pPr>
            <w:r w:rsidRPr="00B90C1E">
              <w:rPr>
                <w:lang w:val="en-US"/>
              </w:rPr>
              <w:t>For other purposes and used for planning.</w:t>
            </w:r>
          </w:p>
          <w:p w:rsidR="0067614A" w:rsidRPr="00B90C1E" w:rsidRDefault="0067614A" w:rsidP="0067614A">
            <w:pPr>
              <w:pStyle w:val="Paragrafoelenco"/>
              <w:spacing w:line="240" w:lineRule="auto"/>
              <w:ind w:left="360"/>
              <w:rPr>
                <w:lang w:val="en-US"/>
              </w:rPr>
            </w:pPr>
          </w:p>
        </w:tc>
        <w:tc>
          <w:tcPr>
            <w:tcW w:w="9072" w:type="dxa"/>
          </w:tcPr>
          <w:p w:rsidR="00204266" w:rsidRDefault="00204266" w:rsidP="00204266">
            <w:pPr>
              <w:rPr>
                <w:lang w:val="en-US"/>
              </w:rPr>
            </w:pPr>
          </w:p>
          <w:p w:rsidR="00DA1CA6" w:rsidRPr="00DA1CA6" w:rsidRDefault="00DA1CA6" w:rsidP="00204266">
            <w:pPr>
              <w:rPr>
                <w:sz w:val="20"/>
                <w:szCs w:val="20"/>
                <w:lang w:val="en-US"/>
              </w:rPr>
            </w:pPr>
            <w:r w:rsidRPr="00DA1CA6">
              <w:rPr>
                <w:color w:val="4F81BD" w:themeColor="accent1"/>
                <w:sz w:val="20"/>
                <w:szCs w:val="20"/>
                <w:lang w:val="en-US"/>
              </w:rPr>
              <w:t>Mainly for monitoring the labor force and personnel but also for general statistical information of the all Finnish society</w:t>
            </w:r>
          </w:p>
        </w:tc>
        <w:tc>
          <w:tcPr>
            <w:tcW w:w="1845" w:type="dxa"/>
          </w:tcPr>
          <w:p w:rsidR="00204266" w:rsidRDefault="00204266" w:rsidP="00204266">
            <w:pPr>
              <w:rPr>
                <w:lang w:val="en-US"/>
              </w:rPr>
            </w:pPr>
          </w:p>
        </w:tc>
      </w:tr>
      <w:tr w:rsidR="00204266" w:rsidRPr="00484795" w:rsidTr="00BB7041">
        <w:tc>
          <w:tcPr>
            <w:tcW w:w="3510" w:type="dxa"/>
          </w:tcPr>
          <w:p w:rsidR="00204266" w:rsidRDefault="00204266" w:rsidP="0067614A">
            <w:pPr>
              <w:rPr>
                <w:lang w:val="en-US"/>
              </w:rPr>
            </w:pPr>
            <w:r w:rsidRPr="0067614A">
              <w:rPr>
                <w:lang w:val="en-US"/>
              </w:rPr>
              <w:t>List of the data collected for planning (indicating also the data used by the mathematical forecasting model)</w:t>
            </w:r>
          </w:p>
          <w:p w:rsidR="0067614A" w:rsidRPr="0067614A" w:rsidRDefault="0067614A" w:rsidP="0067614A">
            <w:pPr>
              <w:rPr>
                <w:lang w:val="en-US"/>
              </w:rPr>
            </w:pPr>
          </w:p>
        </w:tc>
        <w:tc>
          <w:tcPr>
            <w:tcW w:w="9072" w:type="dxa"/>
          </w:tcPr>
          <w:p w:rsidR="00204266" w:rsidRPr="00BB7041" w:rsidRDefault="001D1C1B" w:rsidP="00472B49">
            <w:pPr>
              <w:pStyle w:val="Default"/>
              <w:rPr>
                <w:rFonts w:asciiTheme="minorHAnsi" w:hAnsiTheme="minorHAnsi" w:cstheme="minorHAnsi"/>
                <w:sz w:val="20"/>
                <w:szCs w:val="20"/>
                <w:lang w:val="en-US"/>
              </w:rPr>
            </w:pPr>
            <w:r w:rsidRPr="00BB7041">
              <w:rPr>
                <w:rFonts w:asciiTheme="minorHAnsi" w:hAnsiTheme="minorHAnsi" w:cstheme="minorHAnsi"/>
                <w:sz w:val="20"/>
                <w:szCs w:val="20"/>
                <w:lang w:val="en-US"/>
              </w:rPr>
              <w:t xml:space="preserve">Place of </w:t>
            </w:r>
            <w:r w:rsidR="00BB7041">
              <w:rPr>
                <w:rFonts w:asciiTheme="minorHAnsi" w:hAnsiTheme="minorHAnsi" w:cstheme="minorHAnsi"/>
                <w:sz w:val="20"/>
                <w:szCs w:val="20"/>
                <w:lang w:val="en-US"/>
              </w:rPr>
              <w:t xml:space="preserve">work </w:t>
            </w:r>
            <w:r w:rsidRPr="00BB7041">
              <w:rPr>
                <w:rFonts w:asciiTheme="minorHAnsi" w:hAnsiTheme="minorHAnsi" w:cstheme="minorHAnsi"/>
                <w:strike/>
                <w:color w:val="FF0000"/>
                <w:sz w:val="20"/>
                <w:szCs w:val="20"/>
                <w:lang w:val="en-US"/>
              </w:rPr>
              <w:t>residence</w:t>
            </w:r>
            <w:r w:rsidRPr="00BB7041">
              <w:rPr>
                <w:rFonts w:asciiTheme="minorHAnsi" w:hAnsiTheme="minorHAnsi" w:cstheme="minorHAnsi"/>
                <w:sz w:val="20"/>
                <w:szCs w:val="20"/>
                <w:lang w:val="en-US"/>
              </w:rPr>
              <w:t xml:space="preserve">, place of work, retirement, age, gender, retirement number of graduates, </w:t>
            </w:r>
            <w:r w:rsidR="00BB7041" w:rsidRPr="00BB7041">
              <w:rPr>
                <w:rFonts w:asciiTheme="minorHAnsi" w:hAnsiTheme="minorHAnsi" w:cstheme="minorHAnsi"/>
                <w:color w:val="0070C0"/>
                <w:sz w:val="20"/>
                <w:szCs w:val="20"/>
                <w:lang w:val="en-US"/>
              </w:rPr>
              <w:t>profession,</w:t>
            </w:r>
            <w:r w:rsidR="00BB7041">
              <w:rPr>
                <w:rFonts w:asciiTheme="minorHAnsi" w:hAnsiTheme="minorHAnsi" w:cstheme="minorHAnsi"/>
                <w:color w:val="0070C0"/>
                <w:sz w:val="20"/>
                <w:szCs w:val="20"/>
                <w:lang w:val="en-US"/>
              </w:rPr>
              <w:t xml:space="preserve"> </w:t>
            </w:r>
            <w:r w:rsidRPr="00BB7041">
              <w:rPr>
                <w:rFonts w:asciiTheme="minorHAnsi" w:hAnsiTheme="minorHAnsi" w:cstheme="minorHAnsi"/>
                <w:sz w:val="20"/>
                <w:szCs w:val="20"/>
                <w:lang w:val="en-US"/>
              </w:rPr>
              <w:t xml:space="preserve">medical </w:t>
            </w:r>
            <w:r w:rsidR="00BB7041">
              <w:rPr>
                <w:rFonts w:asciiTheme="minorHAnsi" w:hAnsiTheme="minorHAnsi" w:cstheme="minorHAnsi"/>
                <w:sz w:val="20"/>
                <w:szCs w:val="20"/>
                <w:lang w:val="en-US"/>
              </w:rPr>
              <w:t xml:space="preserve">specialization </w:t>
            </w:r>
            <w:r w:rsidR="00BB7041" w:rsidRPr="00BB7041">
              <w:rPr>
                <w:rFonts w:asciiTheme="minorHAnsi" w:hAnsiTheme="minorHAnsi" w:cstheme="minorHAnsi"/>
                <w:color w:val="0070C0"/>
                <w:sz w:val="20"/>
                <w:szCs w:val="20"/>
                <w:lang w:val="en-US"/>
              </w:rPr>
              <w:t xml:space="preserve">for doctors, </w:t>
            </w:r>
            <w:r w:rsidR="00BB7041">
              <w:rPr>
                <w:rFonts w:asciiTheme="minorHAnsi" w:hAnsiTheme="minorHAnsi" w:cstheme="minorHAnsi"/>
                <w:sz w:val="20"/>
                <w:szCs w:val="20"/>
                <w:lang w:val="en-US"/>
              </w:rPr>
              <w:t>for others</w:t>
            </w:r>
            <w:r w:rsidR="00BB7041" w:rsidRPr="00BB7041">
              <w:rPr>
                <w:rFonts w:asciiTheme="minorHAnsi" w:hAnsiTheme="minorHAnsi" w:cstheme="minorHAnsi"/>
                <w:color w:val="0070C0"/>
                <w:sz w:val="20"/>
                <w:szCs w:val="20"/>
                <w:lang w:val="en-US"/>
              </w:rPr>
              <w:t xml:space="preserve"> training (education), nationality</w:t>
            </w:r>
            <w:r w:rsidR="00472B49">
              <w:rPr>
                <w:rFonts w:asciiTheme="minorHAnsi" w:hAnsiTheme="minorHAnsi" w:cstheme="minorHAnsi"/>
                <w:color w:val="0070C0"/>
                <w:sz w:val="20"/>
                <w:szCs w:val="20"/>
                <w:lang w:val="en-US"/>
              </w:rPr>
              <w:t xml:space="preserve">, </w:t>
            </w:r>
            <w:r w:rsidR="00472B49" w:rsidRPr="00472B49">
              <w:rPr>
                <w:rFonts w:asciiTheme="minorHAnsi" w:hAnsiTheme="minorHAnsi" w:cstheme="minorHAnsi"/>
                <w:color w:val="000000" w:themeColor="text1"/>
                <w:sz w:val="20"/>
                <w:szCs w:val="20"/>
                <w:lang w:val="en-US"/>
              </w:rPr>
              <w:t>p</w:t>
            </w:r>
            <w:r w:rsidRPr="00BB7041">
              <w:rPr>
                <w:rFonts w:asciiTheme="minorHAnsi" w:hAnsiTheme="minorHAnsi" w:cstheme="minorHAnsi"/>
                <w:sz w:val="20"/>
                <w:szCs w:val="20"/>
                <w:lang w:val="en-US"/>
              </w:rPr>
              <w:t xml:space="preserve">ublic and private sector. Also students and trainees </w:t>
            </w:r>
            <w:r w:rsidR="00FB38F2" w:rsidRPr="00BB7041">
              <w:rPr>
                <w:rFonts w:asciiTheme="minorHAnsi" w:hAnsiTheme="minorHAnsi" w:cstheme="minorHAnsi"/>
                <w:sz w:val="20"/>
                <w:szCs w:val="20"/>
                <w:lang w:val="en-US"/>
              </w:rPr>
              <w:t>(Source: Matrix’s Feasibility Study).</w:t>
            </w:r>
          </w:p>
        </w:tc>
        <w:tc>
          <w:tcPr>
            <w:tcW w:w="1845" w:type="dxa"/>
          </w:tcPr>
          <w:p w:rsidR="00204266" w:rsidRDefault="00204266" w:rsidP="00204266">
            <w:pPr>
              <w:rPr>
                <w:lang w:val="en-US"/>
              </w:rPr>
            </w:pPr>
          </w:p>
        </w:tc>
      </w:tr>
    </w:tbl>
    <w:p w:rsidR="00903630" w:rsidRDefault="00903630" w:rsidP="00BF73A4">
      <w:pPr>
        <w:rPr>
          <w:lang w:val="en-US"/>
        </w:rPr>
      </w:pPr>
    </w:p>
    <w:p w:rsidR="009846CF" w:rsidRDefault="009846CF" w:rsidP="009846CF">
      <w:pPr>
        <w:rPr>
          <w:lang w:val="en-US"/>
        </w:rPr>
      </w:pPr>
      <w:r>
        <w:rPr>
          <w:b/>
          <w:lang w:val="en-US"/>
        </w:rPr>
        <w:t>MATHEMATICAL FORECASTING MODEL</w:t>
      </w:r>
      <w:r>
        <w:rPr>
          <w:lang w:val="en-US"/>
        </w:rPr>
        <w:t xml:space="preserve"> (How future scenarios are made? How future HWF needs are calculated?</w:t>
      </w:r>
      <w:r w:rsidRPr="00150F23">
        <w:rPr>
          <w:lang w:val="en-US"/>
        </w:rPr>
        <w:t>)</w:t>
      </w:r>
    </w:p>
    <w:tbl>
      <w:tblPr>
        <w:tblStyle w:val="Grigliatabella"/>
        <w:tblW w:w="0" w:type="auto"/>
        <w:tblLayout w:type="fixed"/>
        <w:tblLook w:val="04A0"/>
      </w:tblPr>
      <w:tblGrid>
        <w:gridCol w:w="3510"/>
        <w:gridCol w:w="1276"/>
        <w:gridCol w:w="7229"/>
        <w:gridCol w:w="2488"/>
      </w:tblGrid>
      <w:tr w:rsidR="009846CF" w:rsidTr="00472B49">
        <w:tc>
          <w:tcPr>
            <w:tcW w:w="3510" w:type="dxa"/>
          </w:tcPr>
          <w:p w:rsidR="009846CF" w:rsidRPr="00130DEA" w:rsidRDefault="009846CF" w:rsidP="007F6F1F">
            <w:pPr>
              <w:rPr>
                <w:b/>
                <w:lang w:val="en-US"/>
              </w:rPr>
            </w:pPr>
            <w:r>
              <w:rPr>
                <w:b/>
                <w:sz w:val="24"/>
                <w:lang w:val="en-US"/>
              </w:rPr>
              <w:t>Main aspects</w:t>
            </w:r>
          </w:p>
        </w:tc>
        <w:tc>
          <w:tcPr>
            <w:tcW w:w="8505" w:type="dxa"/>
            <w:gridSpan w:val="2"/>
          </w:tcPr>
          <w:p w:rsidR="009846CF" w:rsidRDefault="009846CF" w:rsidP="007F6F1F">
            <w:pPr>
              <w:jc w:val="center"/>
              <w:rPr>
                <w:lang w:val="en-US"/>
              </w:rPr>
            </w:pPr>
            <w:r>
              <w:rPr>
                <w:lang w:val="en-US"/>
              </w:rPr>
              <w:t>Description / Examples</w:t>
            </w:r>
          </w:p>
        </w:tc>
        <w:tc>
          <w:tcPr>
            <w:tcW w:w="2488" w:type="dxa"/>
          </w:tcPr>
          <w:p w:rsidR="009846CF" w:rsidRDefault="009846CF" w:rsidP="007F6F1F">
            <w:pPr>
              <w:jc w:val="center"/>
              <w:rPr>
                <w:lang w:val="en-US"/>
              </w:rPr>
            </w:pPr>
            <w:r>
              <w:rPr>
                <w:lang w:val="en-US"/>
              </w:rPr>
              <w:t>Documents</w:t>
            </w:r>
          </w:p>
        </w:tc>
      </w:tr>
      <w:tr w:rsidR="00D2324E" w:rsidRPr="009A23DD" w:rsidTr="00472B49">
        <w:tc>
          <w:tcPr>
            <w:tcW w:w="3510" w:type="dxa"/>
          </w:tcPr>
          <w:p w:rsidR="00D2324E" w:rsidRPr="005F3C7C" w:rsidRDefault="00D2324E" w:rsidP="00D2324E">
            <w:pPr>
              <w:rPr>
                <w:u w:val="single"/>
                <w:lang w:val="en-US"/>
              </w:rPr>
            </w:pPr>
            <w:r>
              <w:rPr>
                <w:u w:val="single"/>
                <w:lang w:val="en-US"/>
              </w:rPr>
              <w:t>The projections concern</w:t>
            </w:r>
          </w:p>
          <w:p w:rsidR="00D2324E" w:rsidRPr="00472B49" w:rsidRDefault="00D2324E" w:rsidP="00D2324E">
            <w:pPr>
              <w:rPr>
                <w:rFonts w:cstheme="minorHAnsi"/>
                <w:sz w:val="20"/>
                <w:szCs w:val="20"/>
                <w:lang w:val="en-US"/>
              </w:rPr>
            </w:pPr>
          </w:p>
          <w:p w:rsidR="00D2324E" w:rsidRPr="00472B49" w:rsidRDefault="00D2324E" w:rsidP="00D2324E">
            <w:pPr>
              <w:pStyle w:val="Paragrafoelenco"/>
              <w:numPr>
                <w:ilvl w:val="0"/>
                <w:numId w:val="29"/>
              </w:numPr>
              <w:spacing w:line="240" w:lineRule="auto"/>
              <w:rPr>
                <w:rFonts w:asciiTheme="minorHAnsi" w:hAnsiTheme="minorHAnsi" w:cstheme="minorHAnsi"/>
                <w:sz w:val="20"/>
                <w:szCs w:val="20"/>
                <w:lang w:val="en-US"/>
              </w:rPr>
            </w:pPr>
            <w:r w:rsidRPr="00472B49">
              <w:rPr>
                <w:rFonts w:asciiTheme="minorHAnsi" w:hAnsiTheme="minorHAnsi" w:cstheme="minorHAnsi"/>
                <w:sz w:val="20"/>
                <w:szCs w:val="20"/>
                <w:lang w:val="en-US"/>
              </w:rPr>
              <w:t xml:space="preserve">Only Supply </w:t>
            </w:r>
          </w:p>
          <w:p w:rsidR="00D2324E" w:rsidRPr="00472B49" w:rsidRDefault="00D2324E" w:rsidP="00D2324E">
            <w:pPr>
              <w:pStyle w:val="Paragrafoelenco"/>
              <w:numPr>
                <w:ilvl w:val="0"/>
                <w:numId w:val="29"/>
              </w:numPr>
              <w:spacing w:line="240" w:lineRule="auto"/>
              <w:rPr>
                <w:rFonts w:asciiTheme="minorHAnsi" w:hAnsiTheme="minorHAnsi" w:cstheme="minorHAnsi"/>
                <w:sz w:val="20"/>
                <w:szCs w:val="20"/>
                <w:lang w:val="en-US"/>
              </w:rPr>
            </w:pPr>
            <w:r w:rsidRPr="00472B49">
              <w:rPr>
                <w:rFonts w:asciiTheme="minorHAnsi" w:hAnsiTheme="minorHAnsi" w:cstheme="minorHAnsi"/>
                <w:sz w:val="20"/>
                <w:szCs w:val="20"/>
                <w:lang w:val="en-US"/>
              </w:rPr>
              <w:t xml:space="preserve">Supply and Demand </w:t>
            </w:r>
          </w:p>
          <w:p w:rsidR="00D2324E" w:rsidRPr="00472B49" w:rsidRDefault="00D2324E" w:rsidP="00D2324E">
            <w:pPr>
              <w:pStyle w:val="Paragrafoelenco"/>
              <w:numPr>
                <w:ilvl w:val="0"/>
                <w:numId w:val="29"/>
              </w:numPr>
              <w:spacing w:line="240" w:lineRule="auto"/>
              <w:rPr>
                <w:rFonts w:asciiTheme="minorHAnsi" w:hAnsiTheme="minorHAnsi" w:cstheme="minorHAnsi"/>
                <w:sz w:val="20"/>
                <w:szCs w:val="20"/>
                <w:lang w:val="en-US"/>
              </w:rPr>
            </w:pPr>
            <w:r w:rsidRPr="00472B49">
              <w:rPr>
                <w:rFonts w:asciiTheme="minorHAnsi" w:hAnsiTheme="minorHAnsi" w:cstheme="minorHAnsi"/>
                <w:sz w:val="20"/>
                <w:szCs w:val="20"/>
                <w:lang w:val="en-US"/>
              </w:rPr>
              <w:t>Supply and population needs</w:t>
            </w:r>
          </w:p>
          <w:p w:rsidR="00D2324E" w:rsidRDefault="00D2324E" w:rsidP="009846CF">
            <w:pPr>
              <w:rPr>
                <w:lang w:val="en-US"/>
              </w:rPr>
            </w:pPr>
          </w:p>
        </w:tc>
        <w:tc>
          <w:tcPr>
            <w:tcW w:w="8505" w:type="dxa"/>
            <w:gridSpan w:val="2"/>
          </w:tcPr>
          <w:p w:rsidR="001133C7" w:rsidRDefault="001133C7" w:rsidP="001133C7">
            <w:pPr>
              <w:pStyle w:val="Default"/>
              <w:rPr>
                <w:rFonts w:asciiTheme="minorHAnsi" w:hAnsiTheme="minorHAnsi"/>
                <w:sz w:val="20"/>
                <w:szCs w:val="20"/>
                <w:lang w:val="en-US"/>
              </w:rPr>
            </w:pPr>
            <w:r w:rsidRPr="00DA1CA6">
              <w:rPr>
                <w:rFonts w:asciiTheme="minorHAnsi" w:hAnsiTheme="minorHAnsi"/>
                <w:sz w:val="20"/>
                <w:szCs w:val="20"/>
                <w:lang w:val="en-US"/>
              </w:rPr>
              <w:t>The model VATTAGE (</w:t>
            </w:r>
            <w:r w:rsidR="00472B49" w:rsidRPr="00DA1CA6">
              <w:rPr>
                <w:rFonts w:asciiTheme="minorHAnsi" w:hAnsiTheme="minorHAnsi"/>
                <w:sz w:val="20"/>
                <w:szCs w:val="20"/>
                <w:lang w:val="en-US"/>
              </w:rPr>
              <w:t xml:space="preserve">‘Forecasts for </w:t>
            </w:r>
            <w:proofErr w:type="spellStart"/>
            <w:r w:rsidR="00472B49" w:rsidRPr="00DA1CA6">
              <w:rPr>
                <w:rFonts w:asciiTheme="minorHAnsi" w:hAnsiTheme="minorHAnsi"/>
                <w:sz w:val="20"/>
                <w:szCs w:val="20"/>
                <w:lang w:val="en-US"/>
              </w:rPr>
              <w:t>labour</w:t>
            </w:r>
            <w:proofErr w:type="spellEnd"/>
            <w:r w:rsidR="00472B49" w:rsidRPr="00DA1CA6">
              <w:rPr>
                <w:rFonts w:asciiTheme="minorHAnsi" w:hAnsiTheme="minorHAnsi"/>
                <w:sz w:val="20"/>
                <w:szCs w:val="20"/>
                <w:lang w:val="en-US"/>
              </w:rPr>
              <w:t xml:space="preserve"> demand’</w:t>
            </w:r>
            <w:r w:rsidR="00472B49">
              <w:rPr>
                <w:rFonts w:asciiTheme="minorHAnsi" w:hAnsiTheme="minorHAnsi"/>
                <w:sz w:val="20"/>
                <w:szCs w:val="20"/>
                <w:lang w:val="en-US"/>
              </w:rPr>
              <w:t xml:space="preserve">, </w:t>
            </w:r>
            <w:r w:rsidRPr="00DA1CA6">
              <w:rPr>
                <w:rFonts w:asciiTheme="minorHAnsi" w:hAnsiTheme="minorHAnsi"/>
                <w:sz w:val="20"/>
                <w:szCs w:val="20"/>
                <w:lang w:val="en-US"/>
              </w:rPr>
              <w:t xml:space="preserve">used in forecasting </w:t>
            </w:r>
            <w:proofErr w:type="spellStart"/>
            <w:r w:rsidRPr="00DA1CA6">
              <w:rPr>
                <w:rFonts w:asciiTheme="minorHAnsi" w:hAnsiTheme="minorHAnsi"/>
                <w:sz w:val="20"/>
                <w:szCs w:val="20"/>
                <w:lang w:val="en-US"/>
              </w:rPr>
              <w:t>labour</w:t>
            </w:r>
            <w:proofErr w:type="spellEnd"/>
            <w:r w:rsidRPr="00DA1CA6">
              <w:rPr>
                <w:rFonts w:asciiTheme="minorHAnsi" w:hAnsiTheme="minorHAnsi"/>
                <w:sz w:val="20"/>
                <w:szCs w:val="20"/>
                <w:lang w:val="en-US"/>
              </w:rPr>
              <w:t xml:space="preserve"> demand) is an applied general equilibrium economic model, that takes into account structural changes of the economy, development of employment, demographics etc.</w:t>
            </w:r>
            <w:r w:rsidR="00EB7C85">
              <w:rPr>
                <w:rFonts w:asciiTheme="minorHAnsi" w:hAnsiTheme="minorHAnsi"/>
                <w:sz w:val="20"/>
                <w:szCs w:val="20"/>
                <w:lang w:val="en-US"/>
              </w:rPr>
              <w:t>)</w:t>
            </w:r>
          </w:p>
          <w:p w:rsidR="00EB7C85" w:rsidRPr="00DA1CA6" w:rsidRDefault="00EB7C85" w:rsidP="001133C7">
            <w:pPr>
              <w:pStyle w:val="Default"/>
              <w:rPr>
                <w:rFonts w:asciiTheme="minorHAnsi" w:hAnsiTheme="minorHAnsi"/>
                <w:sz w:val="20"/>
                <w:szCs w:val="20"/>
                <w:lang w:val="en-US"/>
              </w:rPr>
            </w:pPr>
          </w:p>
          <w:p w:rsidR="00EB7C85" w:rsidRDefault="008B69B0" w:rsidP="001133C7">
            <w:pPr>
              <w:pStyle w:val="Default"/>
              <w:rPr>
                <w:rFonts w:asciiTheme="minorHAnsi" w:hAnsiTheme="minorHAnsi"/>
                <w:sz w:val="20"/>
                <w:szCs w:val="20"/>
                <w:lang w:val="en-US"/>
              </w:rPr>
            </w:pPr>
            <w:r w:rsidRPr="00DA1CA6">
              <w:rPr>
                <w:rFonts w:asciiTheme="minorHAnsi" w:hAnsiTheme="minorHAnsi"/>
                <w:sz w:val="20"/>
                <w:szCs w:val="20"/>
                <w:lang w:val="en-US"/>
              </w:rPr>
              <w:t xml:space="preserve">The Institute for Economic Research applies a dynamic demand model called VATTAGE  for the development of forecasts on health workforce demand. This model takes into account demographics, structural changes of the economy, development of employment and other factors. Two or three different scenarios are taken into consideration and evaluated to develop the forecasts. </w:t>
            </w:r>
          </w:p>
          <w:p w:rsidR="00D70F1D" w:rsidRDefault="00D70F1D" w:rsidP="001133C7">
            <w:pPr>
              <w:pStyle w:val="Default"/>
              <w:rPr>
                <w:rFonts w:asciiTheme="minorHAnsi" w:hAnsiTheme="minorHAnsi"/>
                <w:sz w:val="20"/>
                <w:szCs w:val="20"/>
                <w:lang w:val="en-US"/>
              </w:rPr>
            </w:pPr>
          </w:p>
          <w:p w:rsidR="008B69B0" w:rsidRPr="00DA1CA6" w:rsidRDefault="008B69B0" w:rsidP="001133C7">
            <w:pPr>
              <w:pStyle w:val="Default"/>
              <w:rPr>
                <w:rFonts w:asciiTheme="minorHAnsi" w:hAnsiTheme="minorHAnsi"/>
                <w:sz w:val="20"/>
                <w:szCs w:val="20"/>
                <w:lang w:val="en-US"/>
              </w:rPr>
            </w:pPr>
            <w:r w:rsidRPr="00DA1CA6">
              <w:rPr>
                <w:rFonts w:asciiTheme="minorHAnsi" w:hAnsiTheme="minorHAnsi"/>
                <w:sz w:val="20"/>
                <w:szCs w:val="20"/>
                <w:lang w:val="en-US"/>
              </w:rPr>
              <w:t>The supply model M</w:t>
            </w:r>
            <w:r w:rsidR="00472B49">
              <w:rPr>
                <w:rFonts w:asciiTheme="minorHAnsi" w:hAnsiTheme="minorHAnsi"/>
                <w:sz w:val="20"/>
                <w:szCs w:val="20"/>
                <w:lang w:val="en-US"/>
              </w:rPr>
              <w:t>ITENNA</w:t>
            </w:r>
            <w:r w:rsidRPr="00DA1CA6">
              <w:rPr>
                <w:rFonts w:asciiTheme="minorHAnsi" w:hAnsiTheme="minorHAnsi"/>
                <w:sz w:val="20"/>
                <w:szCs w:val="20"/>
                <w:lang w:val="en-US"/>
              </w:rPr>
              <w:t xml:space="preserve"> </w:t>
            </w:r>
            <w:r w:rsidR="00D70F1D">
              <w:rPr>
                <w:rFonts w:asciiTheme="minorHAnsi" w:hAnsiTheme="minorHAnsi"/>
                <w:sz w:val="20"/>
                <w:szCs w:val="20"/>
                <w:lang w:val="en-US"/>
              </w:rPr>
              <w:t xml:space="preserve"> </w:t>
            </w:r>
            <w:r w:rsidRPr="00DA1CA6">
              <w:rPr>
                <w:rFonts w:asciiTheme="minorHAnsi" w:hAnsiTheme="minorHAnsi"/>
                <w:sz w:val="20"/>
                <w:szCs w:val="20"/>
                <w:lang w:val="en-US"/>
              </w:rPr>
              <w:t xml:space="preserve">(‘Forecasts for Educational Needs’) has instead been developed by the Finnish </w:t>
            </w:r>
            <w:r w:rsidR="00627AB2">
              <w:rPr>
                <w:rFonts w:asciiTheme="minorHAnsi" w:hAnsiTheme="minorHAnsi"/>
                <w:sz w:val="20"/>
                <w:szCs w:val="20"/>
                <w:lang w:val="en-US"/>
              </w:rPr>
              <w:t>FNBE</w:t>
            </w:r>
            <w:r w:rsidRPr="00DA1CA6">
              <w:rPr>
                <w:rFonts w:asciiTheme="minorHAnsi" w:hAnsiTheme="minorHAnsi"/>
                <w:sz w:val="20"/>
                <w:szCs w:val="20"/>
                <w:lang w:val="en-US"/>
              </w:rPr>
              <w:t xml:space="preserve"> to convert </w:t>
            </w:r>
            <w:proofErr w:type="spellStart"/>
            <w:r w:rsidRPr="00DA1CA6">
              <w:rPr>
                <w:rFonts w:asciiTheme="minorHAnsi" w:hAnsiTheme="minorHAnsi"/>
                <w:sz w:val="20"/>
                <w:szCs w:val="20"/>
                <w:lang w:val="en-US"/>
              </w:rPr>
              <w:t>labour</w:t>
            </w:r>
            <w:proofErr w:type="spellEnd"/>
            <w:r w:rsidRPr="00DA1CA6">
              <w:rPr>
                <w:rFonts w:asciiTheme="minorHAnsi" w:hAnsiTheme="minorHAnsi"/>
                <w:sz w:val="20"/>
                <w:szCs w:val="20"/>
                <w:lang w:val="en-US"/>
              </w:rPr>
              <w:t xml:space="preserve"> demand to a corresponding educational need for each professional group. The calculations take into account drop-outs, completion of qualifications, graduates entering the </w:t>
            </w:r>
            <w:proofErr w:type="spellStart"/>
            <w:r w:rsidRPr="00DA1CA6">
              <w:rPr>
                <w:rFonts w:asciiTheme="minorHAnsi" w:hAnsiTheme="minorHAnsi"/>
                <w:sz w:val="20"/>
                <w:szCs w:val="20"/>
                <w:lang w:val="en-US"/>
              </w:rPr>
              <w:t>labour</w:t>
            </w:r>
            <w:proofErr w:type="spellEnd"/>
            <w:r w:rsidRPr="00DA1CA6">
              <w:rPr>
                <w:rFonts w:asciiTheme="minorHAnsi" w:hAnsiTheme="minorHAnsi"/>
                <w:sz w:val="20"/>
                <w:szCs w:val="20"/>
                <w:lang w:val="en-US"/>
              </w:rPr>
              <w:t xml:space="preserve"> market, and supply of unemployed </w:t>
            </w:r>
            <w:proofErr w:type="spellStart"/>
            <w:r w:rsidRPr="00DA1CA6">
              <w:rPr>
                <w:rFonts w:asciiTheme="minorHAnsi" w:hAnsiTheme="minorHAnsi"/>
                <w:sz w:val="20"/>
                <w:szCs w:val="20"/>
                <w:lang w:val="en-US"/>
              </w:rPr>
              <w:t>labour</w:t>
            </w:r>
            <w:proofErr w:type="spellEnd"/>
            <w:r w:rsidRPr="00DA1CA6">
              <w:rPr>
                <w:rFonts w:asciiTheme="minorHAnsi" w:hAnsiTheme="minorHAnsi"/>
                <w:sz w:val="20"/>
                <w:szCs w:val="20"/>
                <w:lang w:val="en-US"/>
              </w:rPr>
              <w:t xml:space="preserve"> force.</w:t>
            </w:r>
          </w:p>
          <w:p w:rsidR="00D2324E" w:rsidRPr="00DA1CA6" w:rsidRDefault="001133C7" w:rsidP="001133C7">
            <w:pPr>
              <w:pStyle w:val="Default"/>
              <w:rPr>
                <w:rFonts w:asciiTheme="minorHAnsi" w:hAnsiTheme="minorHAnsi"/>
                <w:sz w:val="20"/>
                <w:szCs w:val="20"/>
                <w:lang w:val="en-US"/>
              </w:rPr>
            </w:pPr>
            <w:r w:rsidRPr="00DA1CA6">
              <w:rPr>
                <w:rFonts w:asciiTheme="minorHAnsi" w:hAnsiTheme="minorHAnsi"/>
                <w:sz w:val="20"/>
                <w:szCs w:val="20"/>
                <w:lang w:val="en-US"/>
              </w:rPr>
              <w:t>(Source: Matrix’s Feasibility Study).</w:t>
            </w:r>
          </w:p>
          <w:p w:rsidR="00AB23B4" w:rsidRDefault="00AB23B4" w:rsidP="001133C7">
            <w:pPr>
              <w:pStyle w:val="Default"/>
              <w:rPr>
                <w:rFonts w:asciiTheme="minorHAnsi" w:hAnsiTheme="minorHAnsi"/>
                <w:sz w:val="16"/>
                <w:szCs w:val="16"/>
                <w:lang w:val="en-US"/>
              </w:rPr>
            </w:pPr>
          </w:p>
          <w:p w:rsidR="00940F83" w:rsidRPr="00DA1CA6" w:rsidRDefault="00940F83" w:rsidP="00940F83">
            <w:pPr>
              <w:pStyle w:val="Default"/>
              <w:rPr>
                <w:rFonts w:asciiTheme="minorHAnsi" w:hAnsiTheme="minorHAnsi" w:cstheme="minorHAnsi"/>
                <w:sz w:val="20"/>
                <w:szCs w:val="20"/>
                <w:lang w:val="en-US"/>
              </w:rPr>
            </w:pPr>
            <w:r w:rsidRPr="00DA1CA6">
              <w:rPr>
                <w:rFonts w:asciiTheme="minorHAnsi" w:hAnsiTheme="minorHAnsi" w:cstheme="minorHAnsi"/>
                <w:sz w:val="20"/>
                <w:szCs w:val="20"/>
                <w:lang w:val="en-US"/>
              </w:rPr>
              <w:t xml:space="preserve">So far, the </w:t>
            </w:r>
            <w:r w:rsidR="00D70F1D">
              <w:rPr>
                <w:rFonts w:asciiTheme="minorHAnsi" w:hAnsiTheme="minorHAnsi" w:cstheme="minorHAnsi"/>
                <w:sz w:val="20"/>
                <w:szCs w:val="20"/>
                <w:lang w:val="en-US"/>
              </w:rPr>
              <w:t>VATTAGE</w:t>
            </w:r>
            <w:r w:rsidRPr="00DA1CA6">
              <w:rPr>
                <w:rFonts w:asciiTheme="minorHAnsi" w:hAnsiTheme="minorHAnsi" w:cstheme="minorHAnsi"/>
                <w:sz w:val="20"/>
                <w:szCs w:val="20"/>
                <w:lang w:val="en-US"/>
              </w:rPr>
              <w:t xml:space="preserve">-model in the </w:t>
            </w:r>
            <w:r w:rsidR="00472B49">
              <w:rPr>
                <w:rFonts w:asciiTheme="minorHAnsi" w:hAnsiTheme="minorHAnsi" w:cstheme="minorHAnsi"/>
                <w:sz w:val="20"/>
                <w:szCs w:val="20"/>
                <w:lang w:val="en-US"/>
              </w:rPr>
              <w:t>VATT</w:t>
            </w:r>
            <w:r w:rsidRPr="00DA1CA6">
              <w:rPr>
                <w:rFonts w:asciiTheme="minorHAnsi" w:hAnsiTheme="minorHAnsi" w:cstheme="minorHAnsi"/>
                <w:sz w:val="20"/>
                <w:szCs w:val="20"/>
                <w:lang w:val="en-US"/>
              </w:rPr>
              <w:t xml:space="preserve"> has made use of exogenous forecasts on health care expenditure. The </w:t>
            </w:r>
            <w:r w:rsidR="00D70F1D">
              <w:rPr>
                <w:rFonts w:asciiTheme="minorHAnsi" w:hAnsiTheme="minorHAnsi" w:cstheme="minorHAnsi"/>
                <w:sz w:val="20"/>
                <w:szCs w:val="20"/>
                <w:lang w:val="en-US"/>
              </w:rPr>
              <w:t>VATTAGE</w:t>
            </w:r>
            <w:r w:rsidRPr="00DA1CA6">
              <w:rPr>
                <w:rFonts w:asciiTheme="minorHAnsi" w:hAnsiTheme="minorHAnsi" w:cstheme="minorHAnsi"/>
                <w:sz w:val="20"/>
                <w:szCs w:val="20"/>
                <w:lang w:val="en-US"/>
              </w:rPr>
              <w:t xml:space="preserve">-model uses these forecasts as input to the health workforce calculations. The health expenditure scenarios have come from EU projections or projections done by the </w:t>
            </w:r>
            <w:proofErr w:type="spellStart"/>
            <w:r w:rsidR="00627AB2">
              <w:rPr>
                <w:rFonts w:asciiTheme="minorHAnsi" w:hAnsiTheme="minorHAnsi" w:cstheme="minorHAnsi"/>
                <w:sz w:val="20"/>
                <w:szCs w:val="20"/>
                <w:lang w:val="en-US"/>
              </w:rPr>
              <w:t>MoSocH</w:t>
            </w:r>
            <w:proofErr w:type="spellEnd"/>
            <w:r w:rsidRPr="00DA1CA6">
              <w:rPr>
                <w:rFonts w:asciiTheme="minorHAnsi" w:hAnsiTheme="minorHAnsi" w:cstheme="minorHAnsi"/>
                <w:sz w:val="20"/>
                <w:szCs w:val="20"/>
                <w:lang w:val="en-US"/>
              </w:rPr>
              <w:t xml:space="preserve"> (MSAH). Both EU and MSAH projection models use data on current health expenditure and health service use by sex and age, demographic forecasts, as well as assumptions on health service productivity, </w:t>
            </w:r>
            <w:proofErr w:type="spellStart"/>
            <w:r w:rsidRPr="00DA1CA6">
              <w:rPr>
                <w:rFonts w:asciiTheme="minorHAnsi" w:hAnsiTheme="minorHAnsi" w:cstheme="minorHAnsi"/>
                <w:sz w:val="20"/>
                <w:szCs w:val="20"/>
                <w:lang w:val="en-US"/>
              </w:rPr>
              <w:t>gdp</w:t>
            </w:r>
            <w:proofErr w:type="spellEnd"/>
            <w:r w:rsidRPr="00DA1CA6">
              <w:rPr>
                <w:rFonts w:asciiTheme="minorHAnsi" w:hAnsiTheme="minorHAnsi" w:cstheme="minorHAnsi"/>
                <w:sz w:val="20"/>
                <w:szCs w:val="20"/>
                <w:lang w:val="en-US"/>
              </w:rPr>
              <w:t xml:space="preserve"> growth etc. It is through these expenditure projections that the above mentioned demand-side variables are included in the workforce modeling.</w:t>
            </w:r>
            <w:r w:rsidR="00472B49">
              <w:rPr>
                <w:rFonts w:asciiTheme="minorHAnsi" w:hAnsiTheme="minorHAnsi" w:cstheme="minorHAnsi"/>
                <w:sz w:val="20"/>
                <w:szCs w:val="20"/>
                <w:lang w:val="en-US"/>
              </w:rPr>
              <w:t xml:space="preserve"> </w:t>
            </w:r>
            <w:r w:rsidRPr="00DA1CA6">
              <w:rPr>
                <w:rFonts w:asciiTheme="minorHAnsi" w:hAnsiTheme="minorHAnsi" w:cstheme="minorHAnsi"/>
                <w:sz w:val="20"/>
                <w:szCs w:val="20"/>
                <w:lang w:val="en-US"/>
              </w:rPr>
              <w:t>(source: OECD Study)</w:t>
            </w:r>
          </w:p>
          <w:p w:rsidR="00940F83" w:rsidRPr="00DA1CA6" w:rsidRDefault="00940F83" w:rsidP="00940F83">
            <w:pPr>
              <w:pStyle w:val="Default"/>
              <w:rPr>
                <w:rFonts w:asciiTheme="minorHAnsi" w:hAnsiTheme="minorHAnsi" w:cstheme="minorHAnsi"/>
                <w:sz w:val="20"/>
                <w:szCs w:val="20"/>
                <w:lang w:val="en-US"/>
              </w:rPr>
            </w:pPr>
          </w:p>
          <w:p w:rsidR="00472B49" w:rsidRDefault="00940F83" w:rsidP="00472B49">
            <w:pPr>
              <w:pStyle w:val="Default"/>
              <w:rPr>
                <w:rFonts w:asciiTheme="minorHAnsi" w:hAnsiTheme="minorHAnsi" w:cstheme="minorHAnsi"/>
                <w:sz w:val="20"/>
                <w:szCs w:val="20"/>
                <w:lang w:val="en-US" w:eastAsia="ja-JP"/>
              </w:rPr>
            </w:pPr>
            <w:r w:rsidRPr="00DA1CA6">
              <w:rPr>
                <w:rFonts w:asciiTheme="minorHAnsi" w:hAnsiTheme="minorHAnsi" w:cstheme="minorHAnsi"/>
                <w:sz w:val="20"/>
                <w:szCs w:val="20"/>
                <w:lang w:val="en-US" w:eastAsia="ja-JP"/>
              </w:rPr>
              <w:t>Intake needs in young people´s education and training and co-</w:t>
            </w:r>
            <w:proofErr w:type="spellStart"/>
            <w:r w:rsidRPr="00DA1CA6">
              <w:rPr>
                <w:rFonts w:asciiTheme="minorHAnsi" w:hAnsiTheme="minorHAnsi" w:cstheme="minorHAnsi"/>
                <w:sz w:val="20"/>
                <w:szCs w:val="20"/>
                <w:lang w:val="en-US" w:eastAsia="ja-JP"/>
              </w:rPr>
              <w:t>ordinating</w:t>
            </w:r>
            <w:proofErr w:type="spellEnd"/>
            <w:r w:rsidRPr="00DA1CA6">
              <w:rPr>
                <w:rFonts w:asciiTheme="minorHAnsi" w:hAnsiTheme="minorHAnsi" w:cstheme="minorHAnsi"/>
                <w:sz w:val="20"/>
                <w:szCs w:val="20"/>
                <w:lang w:val="en-US" w:eastAsia="ja-JP"/>
              </w:rPr>
              <w:t xml:space="preserve"> these with the educational needs of the world of work.</w:t>
            </w:r>
          </w:p>
          <w:p w:rsidR="00940F83" w:rsidRPr="00431326" w:rsidRDefault="00472B49" w:rsidP="00472B49">
            <w:pPr>
              <w:pStyle w:val="Default"/>
              <w:rPr>
                <w:sz w:val="16"/>
                <w:szCs w:val="16"/>
                <w:lang w:val="en-US"/>
              </w:rPr>
            </w:pPr>
            <w:r w:rsidRPr="00431326">
              <w:rPr>
                <w:sz w:val="16"/>
                <w:szCs w:val="16"/>
                <w:lang w:val="en-US"/>
              </w:rPr>
              <w:t xml:space="preserve"> </w:t>
            </w:r>
          </w:p>
        </w:tc>
        <w:tc>
          <w:tcPr>
            <w:tcW w:w="2488" w:type="dxa"/>
          </w:tcPr>
          <w:p w:rsidR="00940F83" w:rsidRPr="00940F83" w:rsidRDefault="00940F83" w:rsidP="00940F83">
            <w:pPr>
              <w:pStyle w:val="Default"/>
              <w:rPr>
                <w:sz w:val="16"/>
                <w:szCs w:val="16"/>
                <w:lang w:val="en-US"/>
              </w:rPr>
            </w:pPr>
            <w:r w:rsidRPr="00940F83">
              <w:rPr>
                <w:sz w:val="16"/>
                <w:szCs w:val="16"/>
                <w:lang w:val="en-US"/>
              </w:rPr>
              <w:lastRenderedPageBreak/>
              <w:t xml:space="preserve">Publication on the </w:t>
            </w:r>
            <w:proofErr w:type="spellStart"/>
            <w:r w:rsidRPr="00940F83">
              <w:rPr>
                <w:sz w:val="16"/>
                <w:szCs w:val="16"/>
                <w:lang w:val="en-US"/>
              </w:rPr>
              <w:t>Vattage</w:t>
            </w:r>
            <w:proofErr w:type="spellEnd"/>
            <w:r w:rsidRPr="00940F83">
              <w:rPr>
                <w:sz w:val="16"/>
                <w:szCs w:val="16"/>
                <w:lang w:val="en-US"/>
              </w:rPr>
              <w:t>-model (in English):</w:t>
            </w:r>
          </w:p>
          <w:p w:rsidR="00940F83" w:rsidRPr="00940F83" w:rsidRDefault="00940F83" w:rsidP="00940F83">
            <w:pPr>
              <w:pStyle w:val="Default"/>
              <w:rPr>
                <w:sz w:val="16"/>
                <w:szCs w:val="16"/>
                <w:lang w:val="en-US"/>
              </w:rPr>
            </w:pPr>
            <w:r w:rsidRPr="00940F83">
              <w:rPr>
                <w:sz w:val="16"/>
                <w:szCs w:val="16"/>
                <w:lang w:val="en-US"/>
              </w:rPr>
              <w:t xml:space="preserve">http://www.vatt.fi/file/vatt_publication_pdf/t150.pdf  </w:t>
            </w:r>
          </w:p>
          <w:p w:rsidR="00940F83" w:rsidRPr="00940F83" w:rsidRDefault="00940F83" w:rsidP="00940F83">
            <w:pPr>
              <w:pStyle w:val="Default"/>
              <w:rPr>
                <w:sz w:val="16"/>
                <w:szCs w:val="16"/>
                <w:lang w:val="en-US"/>
              </w:rPr>
            </w:pPr>
          </w:p>
          <w:p w:rsidR="00940F83" w:rsidRPr="00940F83" w:rsidRDefault="00940F83" w:rsidP="00940F83">
            <w:pPr>
              <w:pStyle w:val="Default"/>
              <w:rPr>
                <w:sz w:val="16"/>
                <w:szCs w:val="16"/>
                <w:lang w:val="en-US"/>
              </w:rPr>
            </w:pPr>
            <w:r w:rsidRPr="00940F83">
              <w:rPr>
                <w:sz w:val="16"/>
                <w:szCs w:val="16"/>
                <w:lang w:val="en-US"/>
              </w:rPr>
              <w:t>Publications on workforce demand (in Finnish):</w:t>
            </w:r>
          </w:p>
          <w:p w:rsidR="00940F83" w:rsidRPr="00940F83" w:rsidRDefault="00940F83" w:rsidP="00940F83">
            <w:pPr>
              <w:pStyle w:val="Default"/>
              <w:rPr>
                <w:sz w:val="16"/>
                <w:szCs w:val="16"/>
                <w:lang w:val="en-US"/>
              </w:rPr>
            </w:pPr>
          </w:p>
          <w:p w:rsidR="00940F83" w:rsidRPr="00940F83" w:rsidRDefault="00940F83" w:rsidP="00940F83">
            <w:pPr>
              <w:pStyle w:val="Default"/>
              <w:rPr>
                <w:sz w:val="16"/>
                <w:szCs w:val="16"/>
                <w:lang w:val="en-US"/>
              </w:rPr>
            </w:pPr>
            <w:r w:rsidRPr="00940F83">
              <w:rPr>
                <w:sz w:val="16"/>
                <w:szCs w:val="16"/>
                <w:lang w:val="en-US"/>
              </w:rPr>
              <w:t xml:space="preserve">http://www.vatt.fi/file/vatt_publication_pdf/t154.pdf </w:t>
            </w:r>
          </w:p>
          <w:p w:rsidR="00940F83" w:rsidRPr="00940F83" w:rsidRDefault="00940F83" w:rsidP="00940F83">
            <w:pPr>
              <w:pStyle w:val="Default"/>
              <w:rPr>
                <w:sz w:val="16"/>
                <w:szCs w:val="16"/>
                <w:lang w:val="en-US"/>
              </w:rPr>
            </w:pPr>
          </w:p>
          <w:p w:rsidR="00940F83" w:rsidRPr="00940F83" w:rsidRDefault="00940F83" w:rsidP="00940F83">
            <w:pPr>
              <w:pStyle w:val="Default"/>
              <w:rPr>
                <w:sz w:val="16"/>
                <w:szCs w:val="16"/>
                <w:lang w:val="en-US"/>
              </w:rPr>
            </w:pPr>
            <w:r w:rsidRPr="00940F83">
              <w:rPr>
                <w:sz w:val="16"/>
                <w:szCs w:val="16"/>
                <w:lang w:val="en-US"/>
              </w:rPr>
              <w:t>http://www.vatt.fi/file/vatt_publication_pdf/t161.pdf</w:t>
            </w:r>
          </w:p>
          <w:p w:rsidR="00940F83" w:rsidRPr="00940F83" w:rsidRDefault="00940F83" w:rsidP="00940F83">
            <w:pPr>
              <w:pStyle w:val="Default"/>
              <w:rPr>
                <w:sz w:val="16"/>
                <w:szCs w:val="16"/>
                <w:lang w:val="en-US"/>
              </w:rPr>
            </w:pPr>
          </w:p>
          <w:p w:rsidR="00D2324E" w:rsidRDefault="00940F83" w:rsidP="00940F83">
            <w:pPr>
              <w:rPr>
                <w:sz w:val="16"/>
                <w:szCs w:val="16"/>
                <w:lang w:val="en-US"/>
              </w:rPr>
            </w:pPr>
            <w:r w:rsidRPr="00940F83">
              <w:rPr>
                <w:sz w:val="16"/>
                <w:szCs w:val="16"/>
                <w:lang w:val="en-US"/>
              </w:rPr>
              <w:t>http://www.vatt.fi/file/vatt_publication_pdf/t166.pdf (regional level)</w:t>
            </w:r>
          </w:p>
          <w:p w:rsidR="00940F83" w:rsidRDefault="00940F83" w:rsidP="00940F83">
            <w:pPr>
              <w:rPr>
                <w:sz w:val="16"/>
                <w:szCs w:val="16"/>
                <w:lang w:val="en-US"/>
              </w:rPr>
            </w:pPr>
          </w:p>
          <w:p w:rsidR="00940F83" w:rsidRDefault="00940F83" w:rsidP="00940F83">
            <w:pPr>
              <w:rPr>
                <w:sz w:val="16"/>
                <w:szCs w:val="16"/>
                <w:lang w:val="en-US"/>
              </w:rPr>
            </w:pPr>
          </w:p>
          <w:p w:rsidR="00940F83" w:rsidRDefault="00940F83" w:rsidP="00940F83">
            <w:pPr>
              <w:rPr>
                <w:sz w:val="16"/>
                <w:szCs w:val="16"/>
                <w:lang w:val="en-US"/>
              </w:rPr>
            </w:pPr>
          </w:p>
          <w:p w:rsidR="00940F83" w:rsidRPr="00FF1F2A" w:rsidRDefault="00940F83" w:rsidP="00940F83">
            <w:pPr>
              <w:rPr>
                <w:sz w:val="16"/>
                <w:lang w:val="en-US"/>
              </w:rPr>
            </w:pPr>
            <w:r w:rsidRPr="00FF1F2A">
              <w:rPr>
                <w:sz w:val="16"/>
                <w:lang w:val="en-US"/>
              </w:rPr>
              <w:t>The whole English document is available through internet:</w:t>
            </w:r>
          </w:p>
          <w:p w:rsidR="00940F83" w:rsidRDefault="00940F83" w:rsidP="00940F83">
            <w:pPr>
              <w:rPr>
                <w:lang w:val="en-US"/>
              </w:rPr>
            </w:pPr>
            <w:r w:rsidRPr="00FF1F2A">
              <w:rPr>
                <w:sz w:val="16"/>
                <w:lang w:val="en-US"/>
              </w:rPr>
              <w:t xml:space="preserve">http://www.oph.fi/download/110071_Education_training_and_demand_for_labour_in_Finland_by_2020.pdf (For further </w:t>
            </w:r>
            <w:proofErr w:type="spellStart"/>
            <w:r w:rsidRPr="00FF1F2A">
              <w:rPr>
                <w:sz w:val="16"/>
                <w:lang w:val="en-US"/>
              </w:rPr>
              <w:t>infomation</w:t>
            </w:r>
            <w:proofErr w:type="spellEnd"/>
            <w:r w:rsidRPr="00FF1F2A">
              <w:rPr>
                <w:sz w:val="16"/>
                <w:lang w:val="en-US"/>
              </w:rPr>
              <w:t>, see the pages 46-47, appendices 1 and 2.)</w:t>
            </w:r>
          </w:p>
        </w:tc>
      </w:tr>
      <w:tr w:rsidR="00957984" w:rsidRPr="009A23DD" w:rsidTr="00472B49">
        <w:tc>
          <w:tcPr>
            <w:tcW w:w="3510" w:type="dxa"/>
          </w:tcPr>
          <w:p w:rsidR="00957984" w:rsidRDefault="00957984" w:rsidP="00D2324E">
            <w:pPr>
              <w:rPr>
                <w:lang w:val="en-US"/>
              </w:rPr>
            </w:pPr>
            <w:r w:rsidRPr="00957984">
              <w:rPr>
                <w:lang w:val="en-US"/>
              </w:rPr>
              <w:lastRenderedPageBreak/>
              <w:t>Is your projection segmented along different health service delivery settings? Which delivery settings does the projection take into account?</w:t>
            </w:r>
          </w:p>
          <w:p w:rsidR="00957984" w:rsidRDefault="00957984" w:rsidP="00957984">
            <w:pPr>
              <w:autoSpaceDE w:val="0"/>
              <w:autoSpaceDN w:val="0"/>
              <w:adjustRightInd w:val="0"/>
              <w:rPr>
                <w:color w:val="000000"/>
                <w:lang w:val="en-US" w:eastAsia="en-US"/>
              </w:rPr>
            </w:pPr>
            <w:r w:rsidRPr="007F6828">
              <w:rPr>
                <w:color w:val="000000"/>
                <w:lang w:val="en-US" w:eastAsia="en-US"/>
              </w:rPr>
              <w:t>(e.g. Hospitals vs. Ambulatory Health Care; Public vs. Private Sector)</w:t>
            </w:r>
          </w:p>
          <w:p w:rsidR="00957984" w:rsidRDefault="00957984" w:rsidP="00D2324E">
            <w:pPr>
              <w:rPr>
                <w:u w:val="single"/>
                <w:lang w:val="en-US"/>
              </w:rPr>
            </w:pPr>
          </w:p>
        </w:tc>
        <w:tc>
          <w:tcPr>
            <w:tcW w:w="8505" w:type="dxa"/>
            <w:gridSpan w:val="2"/>
          </w:tcPr>
          <w:p w:rsidR="00957984" w:rsidRPr="00DA1CA6" w:rsidRDefault="00957984" w:rsidP="00957984">
            <w:pPr>
              <w:pStyle w:val="Default"/>
              <w:rPr>
                <w:rFonts w:asciiTheme="minorHAnsi" w:hAnsiTheme="minorHAnsi"/>
                <w:sz w:val="20"/>
                <w:szCs w:val="20"/>
                <w:lang w:val="en-US"/>
              </w:rPr>
            </w:pPr>
            <w:r w:rsidRPr="00DA1CA6">
              <w:rPr>
                <w:rFonts w:asciiTheme="minorHAnsi" w:hAnsiTheme="minorHAnsi" w:cstheme="minorBidi"/>
                <w:color w:val="auto"/>
                <w:sz w:val="20"/>
                <w:szCs w:val="20"/>
                <w:lang w:val="en-US"/>
              </w:rPr>
              <w:t>Health care is dealt as a whole covering the public and private sectors as well as hospital care and primary health care.</w:t>
            </w:r>
            <w:r w:rsidRPr="00DA1CA6">
              <w:rPr>
                <w:rFonts w:asciiTheme="minorHAnsi" w:hAnsiTheme="minorHAnsi"/>
                <w:sz w:val="20"/>
                <w:szCs w:val="20"/>
                <w:lang w:val="en-US"/>
              </w:rPr>
              <w:t>(source: OECD Study)</w:t>
            </w:r>
          </w:p>
          <w:p w:rsidR="00957984" w:rsidRPr="008B69B0" w:rsidRDefault="00957984" w:rsidP="001133C7">
            <w:pPr>
              <w:pStyle w:val="Default"/>
              <w:rPr>
                <w:rFonts w:asciiTheme="minorHAnsi" w:hAnsiTheme="minorHAnsi"/>
                <w:sz w:val="16"/>
                <w:szCs w:val="16"/>
                <w:lang w:val="en-US"/>
              </w:rPr>
            </w:pPr>
          </w:p>
        </w:tc>
        <w:tc>
          <w:tcPr>
            <w:tcW w:w="2488" w:type="dxa"/>
          </w:tcPr>
          <w:p w:rsidR="00957984" w:rsidRPr="00940F83" w:rsidRDefault="00957984" w:rsidP="00940F83">
            <w:pPr>
              <w:pStyle w:val="Default"/>
              <w:rPr>
                <w:sz w:val="16"/>
                <w:szCs w:val="16"/>
                <w:lang w:val="en-US"/>
              </w:rPr>
            </w:pPr>
          </w:p>
        </w:tc>
      </w:tr>
      <w:tr w:rsidR="00957984" w:rsidRPr="009A23DD" w:rsidTr="00472B49">
        <w:tc>
          <w:tcPr>
            <w:tcW w:w="3510" w:type="dxa"/>
          </w:tcPr>
          <w:p w:rsidR="00957984" w:rsidRPr="004310E1" w:rsidRDefault="00957984" w:rsidP="00957984">
            <w:pPr>
              <w:autoSpaceDE w:val="0"/>
              <w:autoSpaceDN w:val="0"/>
              <w:adjustRightInd w:val="0"/>
              <w:rPr>
                <w:lang w:val="en-US"/>
              </w:rPr>
            </w:pPr>
            <w:r w:rsidRPr="004310E1">
              <w:rPr>
                <w:lang w:val="en-US"/>
              </w:rPr>
              <w:t>Does the model take into account any interaction between demand and supply?</w:t>
            </w:r>
          </w:p>
          <w:p w:rsidR="00957984" w:rsidRPr="00957984" w:rsidRDefault="00957984" w:rsidP="00957984">
            <w:pPr>
              <w:rPr>
                <w:lang w:val="en-US"/>
              </w:rPr>
            </w:pPr>
            <w:r w:rsidRPr="004310E1">
              <w:rPr>
                <w:lang w:val="en-US"/>
              </w:rPr>
              <w:t>(e.g. supply-induced demand)</w:t>
            </w:r>
          </w:p>
        </w:tc>
        <w:tc>
          <w:tcPr>
            <w:tcW w:w="8505" w:type="dxa"/>
            <w:gridSpan w:val="2"/>
          </w:tcPr>
          <w:p w:rsidR="004310E1" w:rsidRPr="00DA1CA6" w:rsidRDefault="004310E1" w:rsidP="004310E1">
            <w:pPr>
              <w:autoSpaceDE w:val="0"/>
              <w:autoSpaceDN w:val="0"/>
              <w:adjustRightInd w:val="0"/>
              <w:rPr>
                <w:color w:val="000000"/>
                <w:sz w:val="20"/>
                <w:szCs w:val="20"/>
                <w:lang w:val="en-US" w:eastAsia="en-US"/>
              </w:rPr>
            </w:pPr>
            <w:r w:rsidRPr="00DA1CA6">
              <w:rPr>
                <w:color w:val="000000"/>
                <w:sz w:val="20"/>
                <w:szCs w:val="20"/>
                <w:lang w:val="en-US" w:eastAsia="en-US"/>
              </w:rPr>
              <w:t xml:space="preserve">In the workforce demand modelling, there is no automated mechanism that would link the health workforce supply to the demand. So far, it has been assumed in the scenarios that in healthcare the demand is always met by the supply.  </w:t>
            </w:r>
          </w:p>
          <w:p w:rsidR="004310E1" w:rsidRPr="00DA1CA6" w:rsidRDefault="004310E1" w:rsidP="004310E1">
            <w:pPr>
              <w:autoSpaceDE w:val="0"/>
              <w:autoSpaceDN w:val="0"/>
              <w:adjustRightInd w:val="0"/>
              <w:rPr>
                <w:color w:val="000000"/>
                <w:sz w:val="20"/>
                <w:szCs w:val="20"/>
                <w:lang w:val="en-US" w:eastAsia="en-US"/>
              </w:rPr>
            </w:pPr>
            <w:r w:rsidRPr="00DA1CA6">
              <w:rPr>
                <w:color w:val="000000"/>
                <w:sz w:val="20"/>
                <w:szCs w:val="20"/>
                <w:lang w:val="en-US" w:eastAsia="en-US"/>
              </w:rPr>
              <w:t>However, th</w:t>
            </w:r>
            <w:r w:rsidR="00472B49">
              <w:rPr>
                <w:color w:val="000000"/>
                <w:sz w:val="20"/>
                <w:szCs w:val="20"/>
                <w:lang w:val="en-US" w:eastAsia="en-US"/>
              </w:rPr>
              <w:t>e</w:t>
            </w:r>
            <w:r w:rsidRPr="00DA1CA6">
              <w:rPr>
                <w:color w:val="000000"/>
                <w:sz w:val="20"/>
                <w:szCs w:val="20"/>
                <w:lang w:val="en-US" w:eastAsia="en-US"/>
              </w:rPr>
              <w:t>s</w:t>
            </w:r>
            <w:r w:rsidR="00472B49">
              <w:rPr>
                <w:color w:val="000000"/>
                <w:sz w:val="20"/>
                <w:szCs w:val="20"/>
                <w:lang w:val="en-US" w:eastAsia="en-US"/>
              </w:rPr>
              <w:t>e</w:t>
            </w:r>
            <w:r w:rsidRPr="00DA1CA6">
              <w:rPr>
                <w:color w:val="000000"/>
                <w:sz w:val="20"/>
                <w:szCs w:val="20"/>
                <w:lang w:val="en-US" w:eastAsia="en-US"/>
              </w:rPr>
              <w:t xml:space="preserve"> kind of questions are taken into closer consideration by the healthcare experts that take part in the workforce planning process.</w:t>
            </w:r>
          </w:p>
          <w:p w:rsidR="00D70F1D" w:rsidRDefault="004310E1" w:rsidP="001133C7">
            <w:pPr>
              <w:pStyle w:val="Default"/>
              <w:rPr>
                <w:rFonts w:asciiTheme="minorHAnsi" w:hAnsiTheme="minorHAnsi"/>
                <w:sz w:val="20"/>
                <w:szCs w:val="20"/>
                <w:lang w:val="en-US"/>
              </w:rPr>
            </w:pPr>
            <w:r w:rsidRPr="00DA1CA6">
              <w:rPr>
                <w:rFonts w:asciiTheme="minorHAnsi" w:hAnsiTheme="minorHAnsi"/>
                <w:sz w:val="20"/>
                <w:szCs w:val="20"/>
                <w:lang w:val="en-US"/>
              </w:rPr>
              <w:t>(source: OECD Study)</w:t>
            </w:r>
          </w:p>
          <w:p w:rsidR="0004524F" w:rsidRDefault="0004524F" w:rsidP="0004524F">
            <w:pPr>
              <w:pStyle w:val="Default"/>
              <w:rPr>
                <w:rFonts w:asciiTheme="minorHAnsi" w:hAnsiTheme="minorHAnsi"/>
                <w:color w:val="0070C0"/>
                <w:sz w:val="20"/>
                <w:szCs w:val="20"/>
                <w:lang w:val="en-US"/>
              </w:rPr>
            </w:pPr>
          </w:p>
          <w:p w:rsidR="0004524F" w:rsidRDefault="0004524F" w:rsidP="0004524F">
            <w:pPr>
              <w:pStyle w:val="Default"/>
              <w:rPr>
                <w:rFonts w:asciiTheme="minorHAnsi" w:hAnsiTheme="minorHAnsi"/>
                <w:color w:val="0070C0"/>
                <w:sz w:val="20"/>
                <w:szCs w:val="20"/>
                <w:lang w:val="en-US"/>
              </w:rPr>
            </w:pPr>
            <w:proofErr w:type="spellStart"/>
            <w:r w:rsidRPr="0004524F">
              <w:rPr>
                <w:rFonts w:asciiTheme="minorHAnsi" w:hAnsiTheme="minorHAnsi"/>
                <w:color w:val="0070C0"/>
                <w:sz w:val="20"/>
                <w:szCs w:val="20"/>
                <w:lang w:val="en-US"/>
              </w:rPr>
              <w:t>Nothin</w:t>
            </w:r>
            <w:proofErr w:type="spellEnd"/>
            <w:r w:rsidRPr="0004524F">
              <w:rPr>
                <w:rFonts w:asciiTheme="minorHAnsi" w:hAnsiTheme="minorHAnsi"/>
                <w:color w:val="0070C0"/>
                <w:sz w:val="20"/>
                <w:szCs w:val="20"/>
                <w:lang w:val="en-US"/>
              </w:rPr>
              <w:t xml:space="preserve"> g is included in the model but in the process there is estimation of the gap and evaluating the policies to fill the gaps. </w:t>
            </w:r>
          </w:p>
          <w:p w:rsidR="00DD5C39" w:rsidRPr="0004524F" w:rsidRDefault="00DD5C39" w:rsidP="0004524F">
            <w:pPr>
              <w:pStyle w:val="Default"/>
              <w:rPr>
                <w:rFonts w:asciiTheme="minorHAnsi" w:hAnsiTheme="minorHAnsi"/>
                <w:color w:val="0070C0"/>
                <w:sz w:val="20"/>
                <w:szCs w:val="20"/>
                <w:lang w:val="en-US"/>
              </w:rPr>
            </w:pPr>
          </w:p>
          <w:p w:rsidR="0004524F" w:rsidRPr="0004524F" w:rsidRDefault="0004524F" w:rsidP="0004524F">
            <w:pPr>
              <w:pStyle w:val="Default"/>
              <w:rPr>
                <w:rFonts w:asciiTheme="minorHAnsi" w:hAnsiTheme="minorHAnsi"/>
                <w:color w:val="0070C0"/>
                <w:sz w:val="20"/>
                <w:szCs w:val="20"/>
                <w:lang w:val="en-US"/>
              </w:rPr>
            </w:pPr>
            <w:r>
              <w:rPr>
                <w:rFonts w:asciiTheme="minorHAnsi" w:hAnsiTheme="minorHAnsi"/>
                <w:color w:val="0070C0"/>
                <w:sz w:val="20"/>
                <w:szCs w:val="20"/>
                <w:lang w:val="en-US"/>
              </w:rPr>
              <w:t xml:space="preserve">First, </w:t>
            </w:r>
            <w:r w:rsidRPr="0004524F">
              <w:rPr>
                <w:rFonts w:asciiTheme="minorHAnsi" w:hAnsiTheme="minorHAnsi"/>
                <w:color w:val="0070C0"/>
                <w:sz w:val="20"/>
                <w:szCs w:val="20"/>
                <w:lang w:val="en-US"/>
              </w:rPr>
              <w:t xml:space="preserve">FBNE calculates the difference between the output from education and new needs yearly. Currently there is an gab of 10 000 in whole Finland. The Health sector is about 20 % of this. </w:t>
            </w:r>
          </w:p>
          <w:p w:rsidR="0004524F" w:rsidRDefault="0004524F" w:rsidP="0004524F">
            <w:pPr>
              <w:pStyle w:val="Default"/>
              <w:rPr>
                <w:rFonts w:asciiTheme="minorHAnsi" w:hAnsiTheme="minorHAnsi"/>
                <w:color w:val="0070C0"/>
                <w:sz w:val="20"/>
                <w:szCs w:val="20"/>
                <w:lang w:val="en-US"/>
              </w:rPr>
            </w:pPr>
            <w:r w:rsidRPr="0004524F">
              <w:rPr>
                <w:rFonts w:asciiTheme="minorHAnsi" w:hAnsiTheme="minorHAnsi"/>
                <w:color w:val="0070C0"/>
                <w:sz w:val="20"/>
                <w:szCs w:val="20"/>
                <w:lang w:val="en-US"/>
              </w:rPr>
              <w:t xml:space="preserve">Then this will go further to </w:t>
            </w:r>
            <w:proofErr w:type="spellStart"/>
            <w:r w:rsidRPr="0004524F">
              <w:rPr>
                <w:rFonts w:asciiTheme="minorHAnsi" w:hAnsiTheme="minorHAnsi"/>
                <w:color w:val="0070C0"/>
                <w:sz w:val="20"/>
                <w:szCs w:val="20"/>
                <w:lang w:val="en-US"/>
              </w:rPr>
              <w:t>MoEE</w:t>
            </w:r>
            <w:proofErr w:type="spellEnd"/>
            <w:r w:rsidRPr="0004524F">
              <w:rPr>
                <w:rFonts w:asciiTheme="minorHAnsi" w:hAnsiTheme="minorHAnsi"/>
                <w:color w:val="0070C0"/>
                <w:sz w:val="20"/>
                <w:szCs w:val="20"/>
                <w:lang w:val="en-US"/>
              </w:rPr>
              <w:t xml:space="preserve"> who estimates the needs and means how to reduce the gap. At the moment 2/3 are estimated to be achieved by increase in productivity and 1/3 by recruitments abroad. </w:t>
            </w:r>
          </w:p>
          <w:p w:rsidR="004310E1" w:rsidRDefault="0004524F" w:rsidP="0004524F">
            <w:pPr>
              <w:pStyle w:val="Default"/>
              <w:rPr>
                <w:rFonts w:asciiTheme="minorHAnsi" w:hAnsiTheme="minorHAnsi"/>
                <w:color w:val="0070C0"/>
                <w:sz w:val="20"/>
                <w:szCs w:val="20"/>
                <w:lang w:val="en-US"/>
              </w:rPr>
            </w:pPr>
            <w:r>
              <w:rPr>
                <w:rFonts w:asciiTheme="minorHAnsi" w:hAnsiTheme="minorHAnsi"/>
                <w:color w:val="0070C0"/>
                <w:sz w:val="20"/>
                <w:szCs w:val="20"/>
                <w:lang w:val="en-US"/>
              </w:rPr>
              <w:t xml:space="preserve">Finally all this is again put into political discussion and </w:t>
            </w:r>
            <w:proofErr w:type="spellStart"/>
            <w:r>
              <w:rPr>
                <w:rFonts w:asciiTheme="minorHAnsi" w:hAnsiTheme="minorHAnsi"/>
                <w:color w:val="0070C0"/>
                <w:sz w:val="20"/>
                <w:szCs w:val="20"/>
                <w:lang w:val="en-US"/>
              </w:rPr>
              <w:t>MoSocH’s</w:t>
            </w:r>
            <w:proofErr w:type="spellEnd"/>
            <w:r>
              <w:rPr>
                <w:rFonts w:asciiTheme="minorHAnsi" w:hAnsiTheme="minorHAnsi"/>
                <w:color w:val="0070C0"/>
                <w:sz w:val="20"/>
                <w:szCs w:val="20"/>
                <w:lang w:val="en-US"/>
              </w:rPr>
              <w:t xml:space="preserve"> actions are determined by Government. All this applies to all the industries and ministries. </w:t>
            </w:r>
          </w:p>
          <w:p w:rsidR="0004524F" w:rsidRDefault="0004524F" w:rsidP="0004524F">
            <w:pPr>
              <w:pStyle w:val="Default"/>
              <w:rPr>
                <w:rFonts w:asciiTheme="minorHAnsi" w:hAnsiTheme="minorHAnsi"/>
                <w:color w:val="0070C0"/>
                <w:sz w:val="20"/>
                <w:szCs w:val="20"/>
                <w:lang w:val="en-US"/>
              </w:rPr>
            </w:pPr>
          </w:p>
          <w:p w:rsidR="0004524F" w:rsidRDefault="0004524F" w:rsidP="0004524F">
            <w:pPr>
              <w:pStyle w:val="Default"/>
              <w:rPr>
                <w:rFonts w:asciiTheme="minorHAnsi" w:hAnsiTheme="minorHAnsi"/>
                <w:color w:val="0070C0"/>
                <w:sz w:val="20"/>
                <w:szCs w:val="20"/>
                <w:lang w:val="en-US"/>
              </w:rPr>
            </w:pPr>
            <w:r>
              <w:rPr>
                <w:rFonts w:asciiTheme="minorHAnsi" w:hAnsiTheme="minorHAnsi"/>
                <w:color w:val="0070C0"/>
                <w:sz w:val="20"/>
                <w:szCs w:val="20"/>
                <w:lang w:val="en-US"/>
              </w:rPr>
              <w:t xml:space="preserve">The more accurate monitoring of Health Care personnel is done yearly by </w:t>
            </w:r>
            <w:proofErr w:type="spellStart"/>
            <w:r>
              <w:rPr>
                <w:rFonts w:asciiTheme="minorHAnsi" w:hAnsiTheme="minorHAnsi"/>
                <w:color w:val="0070C0"/>
                <w:sz w:val="20"/>
                <w:szCs w:val="20"/>
                <w:lang w:val="en-US"/>
              </w:rPr>
              <w:t>MoSocH</w:t>
            </w:r>
            <w:proofErr w:type="spellEnd"/>
            <w:r>
              <w:rPr>
                <w:rFonts w:asciiTheme="minorHAnsi" w:hAnsiTheme="minorHAnsi"/>
                <w:color w:val="0070C0"/>
                <w:sz w:val="20"/>
                <w:szCs w:val="20"/>
                <w:lang w:val="en-US"/>
              </w:rPr>
              <w:t xml:space="preserve"> and THL based on Statistics Finland data. </w:t>
            </w:r>
          </w:p>
          <w:p w:rsidR="0004524F" w:rsidRPr="00DA1CA6" w:rsidRDefault="0004524F" w:rsidP="0004524F">
            <w:pPr>
              <w:pStyle w:val="Default"/>
              <w:rPr>
                <w:rFonts w:asciiTheme="minorHAnsi" w:hAnsiTheme="minorHAnsi"/>
                <w:sz w:val="20"/>
                <w:szCs w:val="20"/>
                <w:lang w:val="en-US"/>
              </w:rPr>
            </w:pPr>
          </w:p>
        </w:tc>
        <w:tc>
          <w:tcPr>
            <w:tcW w:w="2488" w:type="dxa"/>
          </w:tcPr>
          <w:p w:rsidR="00957984" w:rsidRPr="00940F83" w:rsidRDefault="00957984" w:rsidP="00940F83">
            <w:pPr>
              <w:pStyle w:val="Default"/>
              <w:rPr>
                <w:sz w:val="16"/>
                <w:szCs w:val="16"/>
                <w:lang w:val="en-US"/>
              </w:rPr>
            </w:pPr>
          </w:p>
        </w:tc>
      </w:tr>
      <w:tr w:rsidR="009846CF" w:rsidRPr="009A23DD" w:rsidTr="00472B49">
        <w:tc>
          <w:tcPr>
            <w:tcW w:w="3510" w:type="dxa"/>
          </w:tcPr>
          <w:p w:rsidR="009846CF" w:rsidRDefault="009846CF" w:rsidP="009846CF">
            <w:pPr>
              <w:rPr>
                <w:lang w:val="en-US"/>
              </w:rPr>
            </w:pPr>
            <w:r>
              <w:rPr>
                <w:lang w:val="en-US"/>
              </w:rPr>
              <w:lastRenderedPageBreak/>
              <w:t>Which are the projection periods?</w:t>
            </w:r>
          </w:p>
          <w:p w:rsidR="009846CF" w:rsidRPr="00700BD5" w:rsidRDefault="009846CF" w:rsidP="009846CF">
            <w:pPr>
              <w:rPr>
                <w:lang w:val="en-US"/>
              </w:rPr>
            </w:pPr>
          </w:p>
        </w:tc>
        <w:tc>
          <w:tcPr>
            <w:tcW w:w="8505" w:type="dxa"/>
            <w:gridSpan w:val="2"/>
          </w:tcPr>
          <w:p w:rsidR="00940F83" w:rsidRPr="00DA1CA6" w:rsidRDefault="00E072AB" w:rsidP="00350CB7">
            <w:pPr>
              <w:rPr>
                <w:sz w:val="20"/>
                <w:szCs w:val="20"/>
                <w:lang w:val="en-US"/>
              </w:rPr>
            </w:pPr>
            <w:r w:rsidRPr="00DA1CA6">
              <w:rPr>
                <w:sz w:val="20"/>
                <w:szCs w:val="20"/>
                <w:lang w:val="en-US"/>
              </w:rPr>
              <w:t>The present long term forecasting on workforce demand cover years from 2008 to 2025.  On the basis of these forecasts the present entrant targets have been adopted for 2011-2016.</w:t>
            </w:r>
            <w:r w:rsidR="00940F83" w:rsidRPr="00DA1CA6">
              <w:rPr>
                <w:sz w:val="20"/>
                <w:szCs w:val="20"/>
                <w:lang w:val="en-US"/>
              </w:rPr>
              <w:t>(source: OECD study)</w:t>
            </w:r>
          </w:p>
        </w:tc>
        <w:tc>
          <w:tcPr>
            <w:tcW w:w="2488" w:type="dxa"/>
          </w:tcPr>
          <w:p w:rsidR="009846CF" w:rsidRDefault="009846CF" w:rsidP="009846CF">
            <w:pPr>
              <w:rPr>
                <w:lang w:val="en-US"/>
              </w:rPr>
            </w:pPr>
          </w:p>
        </w:tc>
      </w:tr>
      <w:tr w:rsidR="004310E1" w:rsidRPr="009A23DD" w:rsidTr="00DA1CA6">
        <w:tc>
          <w:tcPr>
            <w:tcW w:w="4786" w:type="dxa"/>
            <w:gridSpan w:val="2"/>
          </w:tcPr>
          <w:p w:rsidR="004310E1" w:rsidRPr="004310E1" w:rsidRDefault="00DA1CA6" w:rsidP="004310E1">
            <w:pPr>
              <w:rPr>
                <w:lang w:val="en-US"/>
              </w:rPr>
            </w:pPr>
            <w:r w:rsidRPr="009A23DD">
              <w:rPr>
                <w:lang w:val="en-US"/>
              </w:rPr>
              <w:br w:type="page"/>
            </w:r>
            <w:r w:rsidR="004310E1" w:rsidRPr="004310E1">
              <w:rPr>
                <w:lang w:val="en-US"/>
              </w:rPr>
              <w:t>Do you explore the consequences of health workforce projections in relation to other health system goals?</w:t>
            </w:r>
            <w:r w:rsidR="0004524F">
              <w:rPr>
                <w:lang w:val="en-US"/>
              </w:rPr>
              <w:t xml:space="preserve"> </w:t>
            </w:r>
          </w:p>
          <w:p w:rsidR="004310E1" w:rsidRPr="004310E1" w:rsidRDefault="004310E1" w:rsidP="004310E1">
            <w:pPr>
              <w:rPr>
                <w:lang w:val="en-US"/>
              </w:rPr>
            </w:pPr>
            <w:r w:rsidRPr="004310E1">
              <w:rPr>
                <w:lang w:val="en-US"/>
              </w:rPr>
              <w:t>(E.g. access to care, quality of care, cost containment)?</w:t>
            </w:r>
          </w:p>
          <w:p w:rsidR="004310E1" w:rsidRDefault="004310E1" w:rsidP="009846CF">
            <w:pPr>
              <w:rPr>
                <w:lang w:val="en-US"/>
              </w:rPr>
            </w:pPr>
          </w:p>
        </w:tc>
        <w:tc>
          <w:tcPr>
            <w:tcW w:w="7229" w:type="dxa"/>
          </w:tcPr>
          <w:p w:rsidR="004310E1" w:rsidRPr="00DA1CA6" w:rsidRDefault="004310E1" w:rsidP="00350CB7">
            <w:pPr>
              <w:rPr>
                <w:sz w:val="20"/>
                <w:szCs w:val="20"/>
                <w:lang w:val="en-US"/>
              </w:rPr>
            </w:pPr>
            <w:r w:rsidRPr="00DA1CA6">
              <w:rPr>
                <w:color w:val="000000"/>
                <w:sz w:val="20"/>
                <w:szCs w:val="20"/>
                <w:lang w:val="en-US" w:eastAsia="en-US"/>
              </w:rPr>
              <w:t>This kind of qualitative assessment is done by the healthcare experts that take part in the workforce planning process. However, it is not incorporated in the planning models.</w:t>
            </w:r>
            <w:r w:rsidRPr="00DA1CA6">
              <w:rPr>
                <w:sz w:val="20"/>
                <w:szCs w:val="20"/>
                <w:lang w:val="en-US"/>
              </w:rPr>
              <w:t>(source: OECD study)</w:t>
            </w:r>
          </w:p>
        </w:tc>
        <w:tc>
          <w:tcPr>
            <w:tcW w:w="2488" w:type="dxa"/>
          </w:tcPr>
          <w:p w:rsidR="004310E1" w:rsidRDefault="004310E1" w:rsidP="009846CF">
            <w:pPr>
              <w:rPr>
                <w:lang w:val="en-US"/>
              </w:rPr>
            </w:pPr>
          </w:p>
        </w:tc>
      </w:tr>
      <w:tr w:rsidR="004310E1" w:rsidRPr="004310E1" w:rsidTr="00DA1CA6">
        <w:tc>
          <w:tcPr>
            <w:tcW w:w="4786" w:type="dxa"/>
            <w:gridSpan w:val="2"/>
          </w:tcPr>
          <w:p w:rsidR="004310E1" w:rsidRPr="004310E1" w:rsidRDefault="004310E1" w:rsidP="004310E1">
            <w:pPr>
              <w:rPr>
                <w:lang w:val="en-US"/>
              </w:rPr>
            </w:pPr>
            <w:r w:rsidRPr="004310E1">
              <w:rPr>
                <w:color w:val="000000"/>
                <w:lang w:val="en-US" w:eastAsia="en-US"/>
              </w:rPr>
              <w:t xml:space="preserve">How frequently do you update </w:t>
            </w:r>
            <w:r w:rsidRPr="004310E1">
              <w:rPr>
                <w:color w:val="000000"/>
                <w:lang w:val="en-US" w:eastAsia="ja-JP"/>
              </w:rPr>
              <w:t>health workforce forecasting exercises</w:t>
            </w:r>
            <w:r w:rsidRPr="004310E1">
              <w:rPr>
                <w:color w:val="000000"/>
                <w:lang w:val="en-US" w:eastAsia="en-US"/>
              </w:rPr>
              <w:t>?</w:t>
            </w:r>
          </w:p>
        </w:tc>
        <w:tc>
          <w:tcPr>
            <w:tcW w:w="7229" w:type="dxa"/>
          </w:tcPr>
          <w:p w:rsidR="004310E1" w:rsidRPr="00350CB7" w:rsidRDefault="004310E1" w:rsidP="009846CF">
            <w:pPr>
              <w:rPr>
                <w:color w:val="000000"/>
                <w:sz w:val="20"/>
                <w:szCs w:val="20"/>
                <w:lang w:val="en-US"/>
              </w:rPr>
            </w:pPr>
            <w:r w:rsidRPr="00350CB7">
              <w:rPr>
                <w:color w:val="000000"/>
                <w:sz w:val="20"/>
                <w:szCs w:val="20"/>
                <w:lang w:val="en-US" w:eastAsia="en-US"/>
              </w:rPr>
              <w:t xml:space="preserve">Long term forecasts for workforce demand and corresponding forecasts for educational needs have been </w:t>
            </w:r>
            <w:r w:rsidRPr="00350CB7">
              <w:rPr>
                <w:color w:val="000000"/>
                <w:sz w:val="20"/>
                <w:szCs w:val="20"/>
                <w:lang w:val="en-US"/>
              </w:rPr>
              <w:t>carried out every four years since 1991.</w:t>
            </w:r>
          </w:p>
          <w:p w:rsidR="004310E1" w:rsidRPr="00350CB7" w:rsidRDefault="004310E1" w:rsidP="009846CF">
            <w:pPr>
              <w:rPr>
                <w:color w:val="000000"/>
                <w:sz w:val="20"/>
                <w:szCs w:val="20"/>
                <w:lang w:val="en-US"/>
              </w:rPr>
            </w:pPr>
            <w:r w:rsidRPr="00350CB7">
              <w:rPr>
                <w:sz w:val="20"/>
                <w:szCs w:val="20"/>
                <w:lang w:val="en-US"/>
              </w:rPr>
              <w:t>(source: OECD study)</w:t>
            </w:r>
          </w:p>
          <w:p w:rsidR="004310E1" w:rsidRPr="00350CB7" w:rsidRDefault="004310E1" w:rsidP="009846CF">
            <w:pPr>
              <w:rPr>
                <w:color w:val="000000"/>
                <w:sz w:val="20"/>
                <w:szCs w:val="20"/>
                <w:lang w:val="en-US" w:eastAsia="en-US"/>
              </w:rPr>
            </w:pPr>
          </w:p>
        </w:tc>
        <w:tc>
          <w:tcPr>
            <w:tcW w:w="2488" w:type="dxa"/>
          </w:tcPr>
          <w:p w:rsidR="004310E1" w:rsidRDefault="004310E1" w:rsidP="009846CF">
            <w:pPr>
              <w:rPr>
                <w:lang w:val="en-US"/>
              </w:rPr>
            </w:pPr>
          </w:p>
        </w:tc>
      </w:tr>
      <w:tr w:rsidR="009846CF" w:rsidRPr="009A23DD" w:rsidTr="00DA1CA6">
        <w:tc>
          <w:tcPr>
            <w:tcW w:w="4786" w:type="dxa"/>
            <w:gridSpan w:val="2"/>
          </w:tcPr>
          <w:p w:rsidR="009846CF" w:rsidRPr="005F3C7C" w:rsidRDefault="009846CF" w:rsidP="005F3C7C">
            <w:pPr>
              <w:rPr>
                <w:u w:val="single"/>
                <w:lang w:val="en-US"/>
              </w:rPr>
            </w:pPr>
            <w:r w:rsidRPr="005F3C7C">
              <w:rPr>
                <w:u w:val="single"/>
                <w:lang w:val="en-US"/>
              </w:rPr>
              <w:t>Integration of different professional groups</w:t>
            </w:r>
          </w:p>
          <w:p w:rsidR="005F3C7C" w:rsidRPr="004310E1" w:rsidRDefault="005F3C7C" w:rsidP="004310E1">
            <w:pPr>
              <w:rPr>
                <w:lang w:val="en-US"/>
              </w:rPr>
            </w:pPr>
          </w:p>
          <w:p w:rsidR="005F3C7C" w:rsidRDefault="005F3C7C" w:rsidP="005F3C7C">
            <w:pPr>
              <w:rPr>
                <w:lang w:val="en-US"/>
              </w:rPr>
            </w:pPr>
            <w:r>
              <w:rPr>
                <w:lang w:val="en-US"/>
              </w:rPr>
              <w:t xml:space="preserve">Does the forecasting model take into account any kind of </w:t>
            </w:r>
          </w:p>
          <w:p w:rsidR="005F3C7C" w:rsidRDefault="005F3C7C" w:rsidP="005F3C7C">
            <w:pPr>
              <w:pStyle w:val="Paragrafoelenco"/>
              <w:numPr>
                <w:ilvl w:val="0"/>
                <w:numId w:val="27"/>
              </w:numPr>
              <w:spacing w:line="240" w:lineRule="auto"/>
              <w:rPr>
                <w:lang w:val="en-US"/>
              </w:rPr>
            </w:pPr>
            <w:r w:rsidRPr="005F3C7C">
              <w:rPr>
                <w:lang w:val="en-US"/>
              </w:rPr>
              <w:t>h</w:t>
            </w:r>
            <w:r w:rsidR="009846CF" w:rsidRPr="005F3C7C">
              <w:rPr>
                <w:lang w:val="en-US"/>
              </w:rPr>
              <w:t>orizontal integration (different specialties within the professional group)</w:t>
            </w:r>
            <w:r>
              <w:rPr>
                <w:lang w:val="en-US"/>
              </w:rPr>
              <w:t xml:space="preserve"> or</w:t>
            </w:r>
          </w:p>
          <w:p w:rsidR="009846CF" w:rsidRDefault="009846CF" w:rsidP="005F3C7C">
            <w:pPr>
              <w:pStyle w:val="Paragrafoelenco"/>
              <w:numPr>
                <w:ilvl w:val="0"/>
                <w:numId w:val="27"/>
              </w:numPr>
              <w:spacing w:line="240" w:lineRule="auto"/>
              <w:rPr>
                <w:lang w:val="en-US"/>
              </w:rPr>
            </w:pPr>
            <w:r>
              <w:rPr>
                <w:lang w:val="en-US"/>
              </w:rPr>
              <w:t>Vertical integration (different professional groups)</w:t>
            </w:r>
          </w:p>
          <w:p w:rsidR="005F3C7C" w:rsidRDefault="005F3C7C" w:rsidP="005F3C7C">
            <w:pPr>
              <w:pStyle w:val="Paragrafoelenco"/>
              <w:spacing w:line="240" w:lineRule="auto"/>
              <w:ind w:left="360"/>
              <w:rPr>
                <w:lang w:val="en-US"/>
              </w:rPr>
            </w:pPr>
          </w:p>
        </w:tc>
        <w:tc>
          <w:tcPr>
            <w:tcW w:w="7229" w:type="dxa"/>
          </w:tcPr>
          <w:p w:rsidR="00407CD5" w:rsidRPr="009A23DD" w:rsidRDefault="00407CD5" w:rsidP="00407CD5">
            <w:pPr>
              <w:pStyle w:val="Paragrafoelenco"/>
              <w:autoSpaceDE w:val="0"/>
              <w:autoSpaceDN w:val="0"/>
              <w:adjustRightInd w:val="0"/>
              <w:spacing w:line="240" w:lineRule="auto"/>
              <w:ind w:left="0"/>
              <w:jc w:val="left"/>
              <w:rPr>
                <w:rFonts w:asciiTheme="minorHAnsi" w:hAnsiTheme="minorHAnsi" w:cs="Arial"/>
                <w:color w:val="000000" w:themeColor="text1"/>
                <w:sz w:val="20"/>
                <w:szCs w:val="20"/>
                <w:lang w:val="en-US" w:eastAsia="en-GB"/>
              </w:rPr>
            </w:pPr>
            <w:r w:rsidRPr="00472B49">
              <w:rPr>
                <w:rFonts w:asciiTheme="minorHAnsi" w:hAnsiTheme="minorHAnsi"/>
                <w:color w:val="000000" w:themeColor="text1"/>
                <w:sz w:val="20"/>
                <w:szCs w:val="20"/>
                <w:lang w:val="en-US" w:eastAsia="en-US"/>
              </w:rPr>
              <w:t xml:space="preserve">The general workforce planning process covers all 28 industries, of which health care is one. The workforce demand projections made by the </w:t>
            </w:r>
            <w:r w:rsidR="00472B49" w:rsidRPr="009A23DD">
              <w:rPr>
                <w:rFonts w:asciiTheme="minorHAnsi" w:hAnsiTheme="minorHAnsi" w:cs="Arial"/>
                <w:color w:val="000000" w:themeColor="text1"/>
                <w:sz w:val="20"/>
                <w:szCs w:val="20"/>
                <w:lang w:val="en-US" w:eastAsia="en-GB"/>
              </w:rPr>
              <w:t>VATT</w:t>
            </w:r>
            <w:r w:rsidRPr="009A23DD">
              <w:rPr>
                <w:rFonts w:asciiTheme="minorHAnsi" w:hAnsiTheme="minorHAnsi" w:cs="Arial"/>
                <w:color w:val="000000" w:themeColor="text1"/>
                <w:sz w:val="20"/>
                <w:szCs w:val="20"/>
                <w:lang w:val="en-US" w:eastAsia="en-GB"/>
              </w:rPr>
              <w:t xml:space="preserve"> cover the healthcare workforce as a single unit. </w:t>
            </w:r>
          </w:p>
          <w:p w:rsidR="00407CD5" w:rsidRPr="009A23DD" w:rsidRDefault="00407CD5" w:rsidP="00407CD5">
            <w:pPr>
              <w:pStyle w:val="Paragrafoelenco"/>
              <w:autoSpaceDE w:val="0"/>
              <w:autoSpaceDN w:val="0"/>
              <w:adjustRightInd w:val="0"/>
              <w:spacing w:line="240" w:lineRule="auto"/>
              <w:ind w:left="0"/>
              <w:jc w:val="left"/>
              <w:rPr>
                <w:rFonts w:asciiTheme="minorHAnsi" w:hAnsiTheme="minorHAnsi" w:cs="Arial"/>
                <w:color w:val="000000" w:themeColor="text1"/>
                <w:sz w:val="20"/>
                <w:szCs w:val="20"/>
                <w:lang w:val="en-US" w:eastAsia="en-GB"/>
              </w:rPr>
            </w:pPr>
          </w:p>
          <w:p w:rsidR="00407CD5" w:rsidRPr="00472B49" w:rsidRDefault="00407CD5" w:rsidP="00407CD5">
            <w:pPr>
              <w:pStyle w:val="Paragrafoelenco"/>
              <w:autoSpaceDE w:val="0"/>
              <w:autoSpaceDN w:val="0"/>
              <w:adjustRightInd w:val="0"/>
              <w:spacing w:line="240" w:lineRule="auto"/>
              <w:ind w:left="0"/>
              <w:jc w:val="left"/>
              <w:rPr>
                <w:rFonts w:asciiTheme="minorHAnsi" w:hAnsiTheme="minorHAnsi"/>
                <w:color w:val="000000" w:themeColor="text1"/>
                <w:sz w:val="20"/>
                <w:szCs w:val="20"/>
                <w:lang w:val="en-US" w:eastAsia="en-US"/>
              </w:rPr>
            </w:pPr>
            <w:r w:rsidRPr="009A23DD">
              <w:rPr>
                <w:rFonts w:asciiTheme="minorHAnsi" w:hAnsiTheme="minorHAnsi" w:cs="Arial"/>
                <w:color w:val="000000" w:themeColor="text1"/>
                <w:sz w:val="20"/>
                <w:szCs w:val="20"/>
                <w:lang w:val="en-US" w:eastAsia="en-GB"/>
              </w:rPr>
              <w:t xml:space="preserve">The planning process in the </w:t>
            </w:r>
            <w:r w:rsidR="00627AB2" w:rsidRPr="009A23DD">
              <w:rPr>
                <w:rFonts w:asciiTheme="minorHAnsi" w:hAnsiTheme="minorHAnsi" w:cs="Arial"/>
                <w:color w:val="000000" w:themeColor="text1"/>
                <w:sz w:val="20"/>
                <w:szCs w:val="20"/>
                <w:lang w:val="en-US" w:eastAsia="en-GB"/>
              </w:rPr>
              <w:t>FNBE</w:t>
            </w:r>
            <w:r w:rsidRPr="009A23DD">
              <w:rPr>
                <w:rFonts w:asciiTheme="minorHAnsi" w:hAnsiTheme="minorHAnsi" w:cs="Arial"/>
                <w:color w:val="000000" w:themeColor="text1"/>
                <w:sz w:val="20"/>
                <w:szCs w:val="20"/>
                <w:lang w:val="en-US" w:eastAsia="en-GB"/>
              </w:rPr>
              <w:t xml:space="preserve"> makes use of the results from the </w:t>
            </w:r>
            <w:r w:rsidR="00472B49" w:rsidRPr="009A23DD">
              <w:rPr>
                <w:rFonts w:asciiTheme="minorHAnsi" w:hAnsiTheme="minorHAnsi" w:cs="Arial"/>
                <w:color w:val="000000" w:themeColor="text1"/>
                <w:sz w:val="20"/>
                <w:szCs w:val="20"/>
                <w:lang w:val="en-US" w:eastAsia="en-GB"/>
              </w:rPr>
              <w:t>VATT</w:t>
            </w:r>
            <w:r w:rsidRPr="009A23DD">
              <w:rPr>
                <w:rFonts w:asciiTheme="minorHAnsi" w:hAnsiTheme="minorHAnsi" w:cs="Arial"/>
                <w:color w:val="000000" w:themeColor="text1"/>
                <w:sz w:val="20"/>
                <w:szCs w:val="20"/>
                <w:lang w:val="en-US" w:eastAsia="en-GB"/>
              </w:rPr>
              <w:t xml:space="preserve">. </w:t>
            </w:r>
            <w:r w:rsidR="0097388D" w:rsidRPr="009A23DD">
              <w:rPr>
                <w:rFonts w:asciiTheme="minorHAnsi" w:hAnsiTheme="minorHAnsi" w:cs="Arial"/>
                <w:color w:val="000000" w:themeColor="text1"/>
                <w:sz w:val="20"/>
                <w:szCs w:val="20"/>
                <w:lang w:val="en-US" w:eastAsia="en-GB"/>
              </w:rPr>
              <w:t>T</w:t>
            </w:r>
            <w:r w:rsidRPr="009A23DD">
              <w:rPr>
                <w:rFonts w:asciiTheme="minorHAnsi" w:hAnsiTheme="minorHAnsi" w:cs="Arial"/>
                <w:color w:val="000000" w:themeColor="text1"/>
                <w:sz w:val="20"/>
                <w:szCs w:val="20"/>
                <w:lang w:val="en-US" w:eastAsia="en-GB"/>
              </w:rPr>
              <w:t xml:space="preserve">he </w:t>
            </w:r>
            <w:r w:rsidR="00627AB2" w:rsidRPr="009A23DD">
              <w:rPr>
                <w:rFonts w:asciiTheme="minorHAnsi" w:hAnsiTheme="minorHAnsi" w:cs="Arial"/>
                <w:color w:val="000000" w:themeColor="text1"/>
                <w:sz w:val="20"/>
                <w:szCs w:val="20"/>
                <w:lang w:val="en-US" w:eastAsia="en-GB"/>
              </w:rPr>
              <w:t>FNBE</w:t>
            </w:r>
            <w:r w:rsidRPr="009A23DD">
              <w:rPr>
                <w:rFonts w:asciiTheme="minorHAnsi" w:hAnsiTheme="minorHAnsi" w:cs="Arial"/>
                <w:color w:val="000000" w:themeColor="text1"/>
                <w:sz w:val="20"/>
                <w:szCs w:val="20"/>
                <w:lang w:val="en-US" w:eastAsia="en-GB"/>
              </w:rPr>
              <w:t xml:space="preserve"> uses a more detailed classification of healthcare professionals, making sure that the numbers in the detailed professional categories are in line with the results from the </w:t>
            </w:r>
            <w:r w:rsidR="00472B49" w:rsidRPr="009A23DD">
              <w:rPr>
                <w:rFonts w:asciiTheme="minorHAnsi" w:hAnsiTheme="minorHAnsi" w:cs="Arial"/>
                <w:color w:val="000000" w:themeColor="text1"/>
                <w:sz w:val="20"/>
                <w:szCs w:val="20"/>
                <w:lang w:val="en-US" w:eastAsia="en-GB"/>
              </w:rPr>
              <w:t>VATT</w:t>
            </w:r>
            <w:r w:rsidRPr="009A23DD">
              <w:rPr>
                <w:rFonts w:asciiTheme="minorHAnsi" w:hAnsiTheme="minorHAnsi" w:cs="Arial"/>
                <w:color w:val="000000" w:themeColor="text1"/>
                <w:sz w:val="20"/>
                <w:szCs w:val="20"/>
                <w:lang w:val="en-US" w:eastAsia="en-GB"/>
              </w:rPr>
              <w:t xml:space="preserve">. </w:t>
            </w:r>
          </w:p>
          <w:p w:rsidR="00407CD5" w:rsidRPr="00472B49" w:rsidRDefault="00407CD5" w:rsidP="00407CD5">
            <w:pPr>
              <w:pStyle w:val="Paragrafoelenco"/>
              <w:autoSpaceDE w:val="0"/>
              <w:autoSpaceDN w:val="0"/>
              <w:adjustRightInd w:val="0"/>
              <w:spacing w:line="240" w:lineRule="auto"/>
              <w:ind w:left="0"/>
              <w:jc w:val="left"/>
              <w:rPr>
                <w:rFonts w:asciiTheme="minorHAnsi" w:hAnsiTheme="minorHAnsi"/>
                <w:color w:val="000000" w:themeColor="text1"/>
                <w:sz w:val="20"/>
                <w:szCs w:val="20"/>
                <w:lang w:val="en-US" w:eastAsia="en-US"/>
              </w:rPr>
            </w:pPr>
          </w:p>
          <w:p w:rsidR="00407CD5" w:rsidRPr="00472B49" w:rsidRDefault="00407CD5" w:rsidP="00407CD5">
            <w:pPr>
              <w:pStyle w:val="Paragrafoelenco"/>
              <w:autoSpaceDE w:val="0"/>
              <w:autoSpaceDN w:val="0"/>
              <w:adjustRightInd w:val="0"/>
              <w:spacing w:line="240" w:lineRule="auto"/>
              <w:ind w:left="0"/>
              <w:jc w:val="left"/>
              <w:rPr>
                <w:rFonts w:asciiTheme="minorHAnsi" w:hAnsiTheme="minorHAnsi"/>
                <w:color w:val="000000" w:themeColor="text1"/>
                <w:sz w:val="20"/>
                <w:szCs w:val="20"/>
                <w:lang w:val="en-US" w:eastAsia="en-US"/>
              </w:rPr>
            </w:pPr>
            <w:r w:rsidRPr="00472B49">
              <w:rPr>
                <w:rFonts w:asciiTheme="minorHAnsi" w:hAnsiTheme="minorHAnsi"/>
                <w:color w:val="000000" w:themeColor="text1"/>
                <w:sz w:val="20"/>
                <w:szCs w:val="20"/>
                <w:lang w:val="en-US" w:eastAsia="en-US"/>
              </w:rPr>
              <w:t xml:space="preserve">The occupations for the forecasts on educational needs are defined on the basis of the classification by Statistics Finland. The classifications are in accordance with the structure of the </w:t>
            </w:r>
            <w:r w:rsidRPr="009A23DD">
              <w:rPr>
                <w:rFonts w:asciiTheme="minorHAnsi" w:hAnsiTheme="minorHAnsi"/>
                <w:color w:val="000000" w:themeColor="text1"/>
                <w:sz w:val="20"/>
                <w:szCs w:val="20"/>
                <w:lang w:val="en-US"/>
              </w:rPr>
              <w:t>International Standard Classification of Occupations (ISCO-02). The category on h</w:t>
            </w:r>
            <w:r w:rsidRPr="00472B49">
              <w:rPr>
                <w:rFonts w:asciiTheme="minorHAnsi" w:hAnsiTheme="minorHAnsi"/>
                <w:color w:val="000000" w:themeColor="text1"/>
                <w:sz w:val="20"/>
                <w:szCs w:val="20"/>
                <w:lang w:val="en-US" w:eastAsia="en-US"/>
              </w:rPr>
              <w:t xml:space="preserve">ealth and social work includes six occupational groups which can be divided into 25  occupational titles in health care, seven in social services and two in management. </w:t>
            </w:r>
          </w:p>
          <w:p w:rsidR="00407CD5" w:rsidRPr="00472B49" w:rsidRDefault="00407CD5" w:rsidP="00407CD5">
            <w:pPr>
              <w:pStyle w:val="Paragrafoelenco"/>
              <w:autoSpaceDE w:val="0"/>
              <w:autoSpaceDN w:val="0"/>
              <w:adjustRightInd w:val="0"/>
              <w:spacing w:line="240" w:lineRule="auto"/>
              <w:ind w:left="0"/>
              <w:jc w:val="left"/>
              <w:rPr>
                <w:rFonts w:asciiTheme="minorHAnsi" w:hAnsiTheme="minorHAnsi"/>
                <w:color w:val="000000" w:themeColor="text1"/>
                <w:sz w:val="20"/>
                <w:szCs w:val="20"/>
                <w:lang w:val="en-US" w:eastAsia="en-US"/>
              </w:rPr>
            </w:pPr>
          </w:p>
          <w:p w:rsidR="00407CD5" w:rsidRPr="0097388D" w:rsidRDefault="00407CD5" w:rsidP="00407CD5">
            <w:pPr>
              <w:pStyle w:val="Paragrafoelenco"/>
              <w:autoSpaceDE w:val="0"/>
              <w:autoSpaceDN w:val="0"/>
              <w:adjustRightInd w:val="0"/>
              <w:spacing w:line="240" w:lineRule="auto"/>
              <w:ind w:left="0"/>
              <w:jc w:val="left"/>
              <w:rPr>
                <w:rFonts w:asciiTheme="minorHAnsi" w:hAnsiTheme="minorHAnsi"/>
                <w:color w:val="000000"/>
                <w:sz w:val="20"/>
                <w:szCs w:val="20"/>
                <w:lang w:val="en-US" w:eastAsia="en-US"/>
              </w:rPr>
            </w:pPr>
            <w:r w:rsidRPr="00472B49">
              <w:rPr>
                <w:rFonts w:asciiTheme="minorHAnsi" w:hAnsiTheme="minorHAnsi"/>
                <w:color w:val="000000" w:themeColor="text1"/>
                <w:sz w:val="20"/>
                <w:szCs w:val="20"/>
                <w:lang w:val="en-US" w:eastAsia="en-US"/>
              </w:rPr>
              <w:t>In addition, there are also other categories than social and health work which include health care professionals´ groups (e.g. psychologists, hospital physicists etc</w:t>
            </w:r>
            <w:r w:rsidRPr="00472B49">
              <w:rPr>
                <w:rFonts w:asciiTheme="minorHAnsi" w:hAnsiTheme="minorHAnsi"/>
                <w:color w:val="000000"/>
                <w:sz w:val="20"/>
                <w:szCs w:val="20"/>
                <w:lang w:val="en-US" w:eastAsia="en-US"/>
              </w:rPr>
              <w:t>.).</w:t>
            </w:r>
          </w:p>
          <w:p w:rsidR="00407CD5" w:rsidRPr="00350CB7" w:rsidRDefault="00407CD5" w:rsidP="001133C7">
            <w:pPr>
              <w:pStyle w:val="Default"/>
              <w:rPr>
                <w:sz w:val="20"/>
                <w:szCs w:val="20"/>
                <w:lang w:val="en-US"/>
              </w:rPr>
            </w:pPr>
          </w:p>
        </w:tc>
        <w:tc>
          <w:tcPr>
            <w:tcW w:w="2488" w:type="dxa"/>
          </w:tcPr>
          <w:p w:rsidR="009846CF" w:rsidRDefault="009846CF" w:rsidP="009846CF">
            <w:pPr>
              <w:rPr>
                <w:lang w:val="en-US"/>
              </w:rPr>
            </w:pPr>
          </w:p>
        </w:tc>
      </w:tr>
      <w:tr w:rsidR="00ED410D" w:rsidRPr="00484795" w:rsidTr="00DA1CA6">
        <w:tc>
          <w:tcPr>
            <w:tcW w:w="4786" w:type="dxa"/>
            <w:gridSpan w:val="2"/>
          </w:tcPr>
          <w:p w:rsidR="00ED410D" w:rsidRDefault="00ED410D" w:rsidP="005F3C7C">
            <w:pPr>
              <w:rPr>
                <w:u w:val="single"/>
                <w:lang w:val="en-US"/>
              </w:rPr>
            </w:pPr>
            <w:r>
              <w:rPr>
                <w:u w:val="single"/>
                <w:lang w:val="en-US"/>
              </w:rPr>
              <w:t>Forecasting methods used</w:t>
            </w:r>
          </w:p>
          <w:p w:rsidR="002F4683" w:rsidRPr="002F4683" w:rsidRDefault="002F4683">
            <w:pPr>
              <w:pStyle w:val="Paragrafoelenco"/>
              <w:numPr>
                <w:ilvl w:val="0"/>
                <w:numId w:val="31"/>
              </w:numPr>
              <w:spacing w:line="240" w:lineRule="auto"/>
              <w:rPr>
                <w:lang w:val="en-US"/>
              </w:rPr>
            </w:pPr>
            <w:r w:rsidRPr="002F4683">
              <w:rPr>
                <w:lang w:val="en-US"/>
              </w:rPr>
              <w:t>Only quantitative methods</w:t>
            </w:r>
          </w:p>
          <w:p w:rsidR="002F4683" w:rsidRPr="002F4683" w:rsidRDefault="002F4683">
            <w:pPr>
              <w:pStyle w:val="Paragrafoelenco"/>
              <w:numPr>
                <w:ilvl w:val="0"/>
                <w:numId w:val="31"/>
              </w:numPr>
              <w:spacing w:line="240" w:lineRule="auto"/>
              <w:rPr>
                <w:lang w:val="en-US"/>
              </w:rPr>
            </w:pPr>
            <w:r w:rsidRPr="002F4683">
              <w:rPr>
                <w:lang w:val="en-US"/>
              </w:rPr>
              <w:lastRenderedPageBreak/>
              <w:t>Onl</w:t>
            </w:r>
            <w:r w:rsidR="00FB38F2">
              <w:rPr>
                <w:lang w:val="en-US"/>
              </w:rPr>
              <w:t>y</w:t>
            </w:r>
            <w:r w:rsidRPr="002F4683">
              <w:rPr>
                <w:lang w:val="en-US"/>
              </w:rPr>
              <w:t xml:space="preserve"> qualitative methods</w:t>
            </w:r>
          </w:p>
          <w:p w:rsidR="002F4683" w:rsidRPr="002F4683" w:rsidRDefault="002F4683">
            <w:pPr>
              <w:pStyle w:val="Paragrafoelenco"/>
              <w:numPr>
                <w:ilvl w:val="0"/>
                <w:numId w:val="31"/>
              </w:numPr>
              <w:spacing w:line="240" w:lineRule="auto"/>
              <w:rPr>
                <w:lang w:val="en-US"/>
              </w:rPr>
            </w:pPr>
            <w:r w:rsidRPr="002F4683">
              <w:rPr>
                <w:lang w:val="en-US"/>
              </w:rPr>
              <w:t>Combination of quantitative and qualitative methods</w:t>
            </w:r>
          </w:p>
          <w:p w:rsidR="002F4683" w:rsidRDefault="002F4683">
            <w:pPr>
              <w:ind w:left="360"/>
              <w:rPr>
                <w:u w:val="single"/>
                <w:lang w:val="en-US"/>
              </w:rPr>
            </w:pPr>
          </w:p>
        </w:tc>
        <w:tc>
          <w:tcPr>
            <w:tcW w:w="7229" w:type="dxa"/>
          </w:tcPr>
          <w:p w:rsidR="00ED410D" w:rsidRPr="007C164E" w:rsidRDefault="002B4B21" w:rsidP="00431326">
            <w:pPr>
              <w:pStyle w:val="Default"/>
              <w:rPr>
                <w:rFonts w:asciiTheme="minorHAnsi" w:hAnsiTheme="minorHAnsi"/>
                <w:sz w:val="20"/>
                <w:szCs w:val="20"/>
                <w:lang w:val="en-US"/>
              </w:rPr>
            </w:pPr>
            <w:r w:rsidRPr="0004524F">
              <w:rPr>
                <w:rFonts w:asciiTheme="minorHAnsi" w:hAnsiTheme="minorHAnsi"/>
                <w:color w:val="0070C0"/>
                <w:sz w:val="20"/>
                <w:szCs w:val="20"/>
                <w:lang w:val="en-US"/>
              </w:rPr>
              <w:lastRenderedPageBreak/>
              <w:t>1 and 2.</w:t>
            </w:r>
          </w:p>
        </w:tc>
        <w:tc>
          <w:tcPr>
            <w:tcW w:w="2488" w:type="dxa"/>
          </w:tcPr>
          <w:p w:rsidR="00ED410D" w:rsidRDefault="00ED410D" w:rsidP="009846CF">
            <w:pPr>
              <w:rPr>
                <w:lang w:val="en-US"/>
              </w:rPr>
            </w:pPr>
          </w:p>
        </w:tc>
      </w:tr>
      <w:tr w:rsidR="00D330FB" w:rsidTr="00DA1CA6">
        <w:tc>
          <w:tcPr>
            <w:tcW w:w="4786" w:type="dxa"/>
            <w:gridSpan w:val="2"/>
          </w:tcPr>
          <w:p w:rsidR="00D330FB" w:rsidRDefault="00642B67" w:rsidP="00D330FB">
            <w:pPr>
              <w:rPr>
                <w:u w:val="single"/>
                <w:lang w:val="en-US"/>
              </w:rPr>
            </w:pPr>
            <w:r>
              <w:rPr>
                <w:u w:val="single"/>
                <w:lang w:val="en-US"/>
              </w:rPr>
              <w:lastRenderedPageBreak/>
              <w:t xml:space="preserve">Quantitative </w:t>
            </w:r>
            <w:r w:rsidR="00D330FB">
              <w:rPr>
                <w:u w:val="single"/>
                <w:lang w:val="en-US"/>
              </w:rPr>
              <w:t>forecasting method</w:t>
            </w:r>
          </w:p>
          <w:p w:rsidR="00D330FB" w:rsidRDefault="00D330FB" w:rsidP="00D330FB">
            <w:pPr>
              <w:rPr>
                <w:u w:val="single"/>
                <w:lang w:val="en-US"/>
              </w:rPr>
            </w:pPr>
            <w:r>
              <w:rPr>
                <w:u w:val="single"/>
                <w:lang w:val="en-US"/>
              </w:rPr>
              <w:t>Which statistical forecasting method is used?</w:t>
            </w:r>
          </w:p>
          <w:p w:rsidR="00D330FB" w:rsidRPr="00EE1E9B" w:rsidRDefault="002F4683" w:rsidP="00D330FB">
            <w:pPr>
              <w:pStyle w:val="Paragrafoelenco"/>
              <w:numPr>
                <w:ilvl w:val="0"/>
                <w:numId w:val="30"/>
              </w:numPr>
              <w:spacing w:line="240" w:lineRule="auto"/>
              <w:rPr>
                <w:lang w:val="en-US"/>
              </w:rPr>
            </w:pPr>
            <w:r w:rsidRPr="002F4683">
              <w:rPr>
                <w:lang w:val="en-US"/>
              </w:rPr>
              <w:t xml:space="preserve">Classical time series analysis </w:t>
            </w:r>
          </w:p>
          <w:p w:rsidR="002F4683" w:rsidRPr="002F4683" w:rsidRDefault="002F4683">
            <w:pPr>
              <w:pStyle w:val="Paragrafoelenco"/>
              <w:numPr>
                <w:ilvl w:val="0"/>
                <w:numId w:val="30"/>
              </w:numPr>
              <w:spacing w:line="240" w:lineRule="auto"/>
              <w:rPr>
                <w:lang w:val="en-US"/>
              </w:rPr>
            </w:pPr>
            <w:r w:rsidRPr="002F4683">
              <w:rPr>
                <w:lang w:val="en-US"/>
              </w:rPr>
              <w:t xml:space="preserve">Stochastic time series analysis </w:t>
            </w:r>
          </w:p>
          <w:p w:rsidR="002F4683" w:rsidRPr="002F4683" w:rsidRDefault="002F4683">
            <w:pPr>
              <w:pStyle w:val="Paragrafoelenco"/>
              <w:numPr>
                <w:ilvl w:val="0"/>
                <w:numId w:val="30"/>
              </w:numPr>
              <w:spacing w:line="240" w:lineRule="auto"/>
              <w:rPr>
                <w:lang w:val="en-US"/>
              </w:rPr>
            </w:pPr>
            <w:r w:rsidRPr="002F4683">
              <w:rPr>
                <w:lang w:val="en-US"/>
              </w:rPr>
              <w:t>Multiple Regression Analysis</w:t>
            </w:r>
          </w:p>
          <w:p w:rsidR="002F4683" w:rsidRPr="002F4683" w:rsidRDefault="002F4683">
            <w:pPr>
              <w:pStyle w:val="Paragrafoelenco"/>
              <w:numPr>
                <w:ilvl w:val="0"/>
                <w:numId w:val="30"/>
              </w:numPr>
              <w:spacing w:line="240" w:lineRule="auto"/>
              <w:rPr>
                <w:lang w:val="en-US"/>
              </w:rPr>
            </w:pPr>
            <w:r w:rsidRPr="002F4683">
              <w:rPr>
                <w:lang w:val="en-US"/>
              </w:rPr>
              <w:t>Other</w:t>
            </w:r>
          </w:p>
          <w:p w:rsidR="00D330FB" w:rsidRPr="005F3C7C" w:rsidRDefault="00D330FB" w:rsidP="00D330FB">
            <w:pPr>
              <w:rPr>
                <w:u w:val="single"/>
                <w:lang w:val="en-US"/>
              </w:rPr>
            </w:pPr>
          </w:p>
        </w:tc>
        <w:tc>
          <w:tcPr>
            <w:tcW w:w="7229" w:type="dxa"/>
          </w:tcPr>
          <w:p w:rsidR="00D330FB" w:rsidRDefault="00D330FB" w:rsidP="009846CF">
            <w:pPr>
              <w:rPr>
                <w:lang w:val="en-US"/>
              </w:rPr>
            </w:pPr>
          </w:p>
        </w:tc>
        <w:tc>
          <w:tcPr>
            <w:tcW w:w="2488" w:type="dxa"/>
          </w:tcPr>
          <w:p w:rsidR="00D330FB" w:rsidRDefault="00D330FB" w:rsidP="009846CF">
            <w:pPr>
              <w:rPr>
                <w:lang w:val="en-US"/>
              </w:rPr>
            </w:pPr>
          </w:p>
        </w:tc>
      </w:tr>
      <w:tr w:rsidR="00AA06C4" w:rsidTr="00DA1CA6">
        <w:tc>
          <w:tcPr>
            <w:tcW w:w="4786" w:type="dxa"/>
            <w:gridSpan w:val="2"/>
          </w:tcPr>
          <w:p w:rsidR="00AA06C4" w:rsidRDefault="00AA06C4" w:rsidP="00AA06C4">
            <w:pPr>
              <w:rPr>
                <w:u w:val="single"/>
                <w:lang w:val="en-US"/>
              </w:rPr>
            </w:pPr>
            <w:r>
              <w:rPr>
                <w:u w:val="single"/>
                <w:lang w:val="en-US"/>
              </w:rPr>
              <w:t>Qualitative forecasting method</w:t>
            </w:r>
            <w:r w:rsidR="00753AF4">
              <w:rPr>
                <w:u w:val="single"/>
                <w:lang w:val="en-US"/>
              </w:rPr>
              <w:t xml:space="preserve"> (if used)</w:t>
            </w:r>
          </w:p>
          <w:p w:rsidR="002F4683" w:rsidRPr="002F4683" w:rsidRDefault="002F4683">
            <w:pPr>
              <w:pStyle w:val="Paragrafoelenco"/>
              <w:numPr>
                <w:ilvl w:val="0"/>
                <w:numId w:val="32"/>
              </w:numPr>
              <w:spacing w:line="240" w:lineRule="auto"/>
              <w:rPr>
                <w:lang w:val="en-US"/>
              </w:rPr>
            </w:pPr>
            <w:r w:rsidRPr="002F4683">
              <w:rPr>
                <w:lang w:val="en-US"/>
              </w:rPr>
              <w:t>Delphi</w:t>
            </w:r>
          </w:p>
          <w:p w:rsidR="002F4683" w:rsidRPr="002F4683" w:rsidRDefault="002F4683">
            <w:pPr>
              <w:pStyle w:val="Paragrafoelenco"/>
              <w:numPr>
                <w:ilvl w:val="0"/>
                <w:numId w:val="32"/>
              </w:numPr>
              <w:spacing w:line="240" w:lineRule="auto"/>
              <w:rPr>
                <w:lang w:val="en-US"/>
              </w:rPr>
            </w:pPr>
            <w:r w:rsidRPr="002F4683">
              <w:rPr>
                <w:lang w:val="en-US"/>
              </w:rPr>
              <w:t>Brainstorming</w:t>
            </w:r>
          </w:p>
          <w:p w:rsidR="002F4683" w:rsidRPr="002F4683" w:rsidRDefault="002F4683">
            <w:pPr>
              <w:pStyle w:val="Paragrafoelenco"/>
              <w:numPr>
                <w:ilvl w:val="0"/>
                <w:numId w:val="32"/>
              </w:numPr>
              <w:spacing w:line="240" w:lineRule="auto"/>
              <w:rPr>
                <w:lang w:val="en-US"/>
              </w:rPr>
            </w:pPr>
            <w:r w:rsidRPr="002F4683">
              <w:rPr>
                <w:lang w:val="en-US"/>
              </w:rPr>
              <w:t>Market survey</w:t>
            </w:r>
          </w:p>
          <w:p w:rsidR="002F4683" w:rsidRPr="002F4683" w:rsidRDefault="002F4683">
            <w:pPr>
              <w:pStyle w:val="Paragrafoelenco"/>
              <w:numPr>
                <w:ilvl w:val="0"/>
                <w:numId w:val="32"/>
              </w:numPr>
              <w:spacing w:line="240" w:lineRule="auto"/>
              <w:rPr>
                <w:lang w:val="en-US"/>
              </w:rPr>
            </w:pPr>
            <w:r w:rsidRPr="002F4683">
              <w:rPr>
                <w:lang w:val="en-US"/>
              </w:rPr>
              <w:t>Other</w:t>
            </w:r>
          </w:p>
          <w:p w:rsidR="00AA06C4" w:rsidRPr="005F3C7C" w:rsidRDefault="00AA06C4" w:rsidP="005F3C7C">
            <w:pPr>
              <w:rPr>
                <w:u w:val="single"/>
                <w:lang w:val="en-US"/>
              </w:rPr>
            </w:pPr>
          </w:p>
        </w:tc>
        <w:tc>
          <w:tcPr>
            <w:tcW w:w="7229" w:type="dxa"/>
          </w:tcPr>
          <w:p w:rsidR="00AA06C4" w:rsidRDefault="00AA06C4" w:rsidP="00472B49">
            <w:pPr>
              <w:rPr>
                <w:lang w:val="en-US"/>
              </w:rPr>
            </w:pPr>
          </w:p>
        </w:tc>
        <w:tc>
          <w:tcPr>
            <w:tcW w:w="2488" w:type="dxa"/>
          </w:tcPr>
          <w:p w:rsidR="00AA06C4" w:rsidRDefault="00AA06C4" w:rsidP="009846CF">
            <w:pPr>
              <w:rPr>
                <w:lang w:val="en-US"/>
              </w:rPr>
            </w:pPr>
          </w:p>
        </w:tc>
      </w:tr>
      <w:tr w:rsidR="009846CF" w:rsidTr="00DA1CA6">
        <w:tc>
          <w:tcPr>
            <w:tcW w:w="4786" w:type="dxa"/>
            <w:gridSpan w:val="2"/>
          </w:tcPr>
          <w:p w:rsidR="009846CF" w:rsidRPr="005F3C7C" w:rsidRDefault="00A8218A" w:rsidP="005F3C7C">
            <w:pPr>
              <w:rPr>
                <w:u w:val="single"/>
                <w:lang w:val="en-US"/>
              </w:rPr>
            </w:pPr>
            <w:r>
              <w:rPr>
                <w:u w:val="single"/>
                <w:lang w:val="en-US"/>
              </w:rPr>
              <w:t>Evaluation of forecast</w:t>
            </w:r>
          </w:p>
          <w:p w:rsidR="005F3C7C" w:rsidRDefault="00B32955" w:rsidP="00B32955">
            <w:pPr>
              <w:pStyle w:val="Paragrafoelenco"/>
              <w:numPr>
                <w:ilvl w:val="0"/>
                <w:numId w:val="28"/>
              </w:numPr>
              <w:spacing w:line="240" w:lineRule="auto"/>
              <w:rPr>
                <w:lang w:val="en-US"/>
              </w:rPr>
            </w:pPr>
            <w:r>
              <w:rPr>
                <w:lang w:val="en-US"/>
              </w:rPr>
              <w:t xml:space="preserve">Forecast error calculation (MAD, </w:t>
            </w:r>
            <w:r w:rsidRPr="00B32955">
              <w:rPr>
                <w:lang w:val="en-US"/>
              </w:rPr>
              <w:t>percent confidence interval</w:t>
            </w:r>
            <w:r>
              <w:rPr>
                <w:lang w:val="en-US"/>
              </w:rPr>
              <w:t>, tracking signal, etc)</w:t>
            </w:r>
          </w:p>
          <w:p w:rsidR="00B32955" w:rsidRDefault="00B32955" w:rsidP="005F3C7C">
            <w:pPr>
              <w:pStyle w:val="Paragrafoelenco"/>
              <w:numPr>
                <w:ilvl w:val="0"/>
                <w:numId w:val="28"/>
              </w:numPr>
              <w:spacing w:line="240" w:lineRule="auto"/>
              <w:rPr>
                <w:lang w:val="en-US"/>
              </w:rPr>
            </w:pPr>
            <w:r>
              <w:rPr>
                <w:lang w:val="en-US"/>
              </w:rPr>
              <w:t>Test on historical data</w:t>
            </w:r>
          </w:p>
          <w:p w:rsidR="009846CF" w:rsidRDefault="00B32955" w:rsidP="005F3C7C">
            <w:pPr>
              <w:pStyle w:val="Paragrafoelenco"/>
              <w:numPr>
                <w:ilvl w:val="0"/>
                <w:numId w:val="28"/>
              </w:numPr>
              <w:spacing w:line="240" w:lineRule="auto"/>
              <w:rPr>
                <w:lang w:val="en-US"/>
              </w:rPr>
            </w:pPr>
            <w:r>
              <w:rPr>
                <w:lang w:val="en-US"/>
              </w:rPr>
              <w:t>Others</w:t>
            </w:r>
            <w:r w:rsidR="005F3C7C">
              <w:rPr>
                <w:lang w:val="en-US"/>
              </w:rPr>
              <w:t>.</w:t>
            </w:r>
          </w:p>
          <w:p w:rsidR="005F3C7C" w:rsidRPr="007B0344" w:rsidRDefault="005F3C7C" w:rsidP="005F3C7C">
            <w:pPr>
              <w:pStyle w:val="Paragrafoelenco"/>
              <w:spacing w:line="240" w:lineRule="auto"/>
              <w:rPr>
                <w:lang w:val="en-US"/>
              </w:rPr>
            </w:pPr>
          </w:p>
        </w:tc>
        <w:tc>
          <w:tcPr>
            <w:tcW w:w="7229" w:type="dxa"/>
          </w:tcPr>
          <w:p w:rsidR="009846CF" w:rsidRDefault="009846CF" w:rsidP="009846CF">
            <w:pPr>
              <w:rPr>
                <w:lang w:val="en-US"/>
              </w:rPr>
            </w:pPr>
          </w:p>
        </w:tc>
        <w:tc>
          <w:tcPr>
            <w:tcW w:w="2488" w:type="dxa"/>
          </w:tcPr>
          <w:p w:rsidR="009846CF" w:rsidRDefault="009846CF" w:rsidP="009846CF">
            <w:pPr>
              <w:rPr>
                <w:lang w:val="en-US"/>
              </w:rPr>
            </w:pPr>
          </w:p>
        </w:tc>
      </w:tr>
      <w:tr w:rsidR="009846CF" w:rsidRPr="00514B16" w:rsidTr="00DA1CA6">
        <w:tc>
          <w:tcPr>
            <w:tcW w:w="4786" w:type="dxa"/>
            <w:gridSpan w:val="2"/>
          </w:tcPr>
          <w:p w:rsidR="009846CF" w:rsidRDefault="001340A7" w:rsidP="00475667">
            <w:pPr>
              <w:rPr>
                <w:u w:val="single"/>
                <w:lang w:val="en-US"/>
              </w:rPr>
            </w:pPr>
            <w:r>
              <w:rPr>
                <w:u w:val="single"/>
                <w:lang w:val="en-US"/>
              </w:rPr>
              <w:t xml:space="preserve">Scenario analysis </w:t>
            </w:r>
          </w:p>
          <w:p w:rsidR="002F4683" w:rsidRDefault="001340A7">
            <w:pPr>
              <w:pStyle w:val="Paragrafoelenco"/>
              <w:numPr>
                <w:ilvl w:val="0"/>
                <w:numId w:val="33"/>
              </w:numPr>
              <w:spacing w:line="240" w:lineRule="auto"/>
              <w:rPr>
                <w:lang w:val="en-US"/>
              </w:rPr>
            </w:pPr>
            <w:r>
              <w:rPr>
                <w:lang w:val="en-US"/>
              </w:rPr>
              <w:t>Just one scenario developed</w:t>
            </w:r>
          </w:p>
          <w:p w:rsidR="001340A7" w:rsidRDefault="001340A7" w:rsidP="001340A7">
            <w:pPr>
              <w:pStyle w:val="Paragrafoelenco"/>
              <w:numPr>
                <w:ilvl w:val="0"/>
                <w:numId w:val="33"/>
              </w:numPr>
              <w:spacing w:line="240" w:lineRule="auto"/>
              <w:rPr>
                <w:lang w:val="en-US"/>
              </w:rPr>
            </w:pPr>
            <w:r>
              <w:rPr>
                <w:lang w:val="en-US"/>
              </w:rPr>
              <w:t>More scenarios developed with not adjustable assumptions</w:t>
            </w:r>
          </w:p>
          <w:p w:rsidR="001340A7" w:rsidRDefault="001340A7" w:rsidP="001340A7">
            <w:pPr>
              <w:pStyle w:val="Paragrafoelenco"/>
              <w:numPr>
                <w:ilvl w:val="0"/>
                <w:numId w:val="33"/>
              </w:numPr>
              <w:spacing w:line="240" w:lineRule="auto"/>
              <w:rPr>
                <w:lang w:val="en-US"/>
              </w:rPr>
            </w:pPr>
            <w:r>
              <w:rPr>
                <w:lang w:val="en-US"/>
              </w:rPr>
              <w:t>More scenarios developed with adjustable assumptions</w:t>
            </w:r>
          </w:p>
          <w:p w:rsidR="002F4683" w:rsidRDefault="002F4683">
            <w:pPr>
              <w:pStyle w:val="Paragrafoelenco"/>
              <w:spacing w:line="240" w:lineRule="auto"/>
              <w:rPr>
                <w:lang w:val="en-US"/>
              </w:rPr>
            </w:pPr>
          </w:p>
        </w:tc>
        <w:tc>
          <w:tcPr>
            <w:tcW w:w="7229" w:type="dxa"/>
          </w:tcPr>
          <w:p w:rsidR="00FB38F2" w:rsidRPr="002D5A3D" w:rsidRDefault="00FB38F2" w:rsidP="00FB38F2">
            <w:pPr>
              <w:pStyle w:val="Default"/>
              <w:rPr>
                <w:rFonts w:asciiTheme="minorHAnsi" w:hAnsiTheme="minorHAnsi" w:cstheme="minorHAnsi"/>
                <w:strike/>
                <w:sz w:val="20"/>
                <w:szCs w:val="20"/>
                <w:lang w:val="en-US"/>
              </w:rPr>
            </w:pPr>
            <w:r w:rsidRPr="00350CB7">
              <w:rPr>
                <w:rFonts w:asciiTheme="minorHAnsi" w:hAnsiTheme="minorHAnsi" w:cstheme="minorHAnsi"/>
                <w:sz w:val="20"/>
                <w:szCs w:val="20"/>
                <w:lang w:val="en-US"/>
              </w:rPr>
              <w:t>The forecasts of the workforce demand are provided in accordance with two or three scenarios.</w:t>
            </w:r>
          </w:p>
          <w:p w:rsidR="00FF1F2A" w:rsidRPr="00350CB7" w:rsidRDefault="00FF1F2A" w:rsidP="00FB38F2">
            <w:pPr>
              <w:pStyle w:val="Default"/>
              <w:rPr>
                <w:rFonts w:asciiTheme="minorHAnsi" w:hAnsiTheme="minorHAnsi" w:cstheme="minorHAnsi"/>
                <w:sz w:val="20"/>
                <w:szCs w:val="20"/>
                <w:lang w:val="en-US"/>
              </w:rPr>
            </w:pPr>
          </w:p>
          <w:p w:rsidR="00FF1F2A" w:rsidRPr="00350CB7" w:rsidRDefault="00FF1F2A" w:rsidP="00FF1F2A">
            <w:pPr>
              <w:pStyle w:val="Paragrafoelenco"/>
              <w:autoSpaceDE w:val="0"/>
              <w:autoSpaceDN w:val="0"/>
              <w:adjustRightInd w:val="0"/>
              <w:spacing w:line="240" w:lineRule="auto"/>
              <w:ind w:left="0"/>
              <w:jc w:val="left"/>
              <w:rPr>
                <w:rFonts w:asciiTheme="minorHAnsi" w:hAnsiTheme="minorHAnsi" w:cstheme="minorHAnsi"/>
                <w:color w:val="000000"/>
                <w:sz w:val="20"/>
                <w:szCs w:val="20"/>
                <w:lang w:val="en-US"/>
              </w:rPr>
            </w:pPr>
            <w:r w:rsidRPr="00350CB7">
              <w:rPr>
                <w:rFonts w:asciiTheme="minorHAnsi" w:hAnsiTheme="minorHAnsi" w:cstheme="minorHAnsi"/>
                <w:color w:val="000000"/>
                <w:sz w:val="20"/>
                <w:szCs w:val="20"/>
                <w:lang w:val="en-US"/>
              </w:rPr>
              <w:t>The most recent workforce demand projections of the Government Institute of Economic Research have looked into three different scenarios:</w:t>
            </w:r>
          </w:p>
          <w:p w:rsidR="00FF1F2A" w:rsidRPr="00350CB7" w:rsidRDefault="00FF1F2A" w:rsidP="00FF1F2A">
            <w:pPr>
              <w:pStyle w:val="Paragrafoelenco"/>
              <w:numPr>
                <w:ilvl w:val="0"/>
                <w:numId w:val="38"/>
              </w:numPr>
              <w:autoSpaceDE w:val="0"/>
              <w:autoSpaceDN w:val="0"/>
              <w:adjustRightInd w:val="0"/>
              <w:spacing w:line="240" w:lineRule="auto"/>
              <w:jc w:val="left"/>
              <w:rPr>
                <w:rFonts w:asciiTheme="minorHAnsi" w:hAnsiTheme="minorHAnsi" w:cstheme="minorHAnsi"/>
                <w:color w:val="000000"/>
                <w:sz w:val="20"/>
                <w:szCs w:val="20"/>
                <w:lang w:val="en-US" w:eastAsia="en-US"/>
              </w:rPr>
            </w:pPr>
            <w:r w:rsidRPr="00350CB7">
              <w:rPr>
                <w:rFonts w:asciiTheme="minorHAnsi" w:hAnsiTheme="minorHAnsi" w:cstheme="minorHAnsi"/>
                <w:color w:val="000000"/>
                <w:sz w:val="20"/>
                <w:szCs w:val="20"/>
                <w:lang w:val="en-US" w:eastAsia="en-US"/>
              </w:rPr>
              <w:t>Basic scenario: The employment rate is expected to end up at 72 %, with the GDP growth is leveling at 1,7 %. Considerable growth is expected in the GDP share and the workforce share of the social and health services.</w:t>
            </w:r>
          </w:p>
          <w:p w:rsidR="00FF1F2A" w:rsidRPr="00350CB7" w:rsidRDefault="00FF1F2A" w:rsidP="00FF1F2A">
            <w:pPr>
              <w:pStyle w:val="Paragrafoelenco"/>
              <w:numPr>
                <w:ilvl w:val="0"/>
                <w:numId w:val="38"/>
              </w:numPr>
              <w:autoSpaceDE w:val="0"/>
              <w:autoSpaceDN w:val="0"/>
              <w:adjustRightInd w:val="0"/>
              <w:spacing w:line="240" w:lineRule="auto"/>
              <w:jc w:val="left"/>
              <w:rPr>
                <w:rFonts w:asciiTheme="minorHAnsi" w:hAnsiTheme="minorHAnsi" w:cstheme="minorHAnsi"/>
                <w:color w:val="000000"/>
                <w:sz w:val="20"/>
                <w:szCs w:val="20"/>
                <w:lang w:val="en-US" w:eastAsia="en-US"/>
              </w:rPr>
            </w:pPr>
            <w:r w:rsidRPr="00350CB7">
              <w:rPr>
                <w:rFonts w:asciiTheme="minorHAnsi" w:hAnsiTheme="minorHAnsi" w:cstheme="minorHAnsi"/>
                <w:color w:val="000000"/>
                <w:sz w:val="20"/>
                <w:szCs w:val="20"/>
                <w:lang w:val="en-US" w:eastAsia="en-US"/>
              </w:rPr>
              <w:t xml:space="preserve">Target scenario: Compared to the basic scenario, the Finnish economy is expected to perform better. One of the </w:t>
            </w:r>
            <w:proofErr w:type="spellStart"/>
            <w:r w:rsidRPr="00350CB7">
              <w:rPr>
                <w:rFonts w:asciiTheme="minorHAnsi" w:hAnsiTheme="minorHAnsi" w:cstheme="minorHAnsi"/>
                <w:color w:val="000000"/>
                <w:sz w:val="20"/>
                <w:szCs w:val="20"/>
                <w:lang w:val="en-US" w:eastAsia="en-US"/>
              </w:rPr>
              <w:t>presumtions</w:t>
            </w:r>
            <w:proofErr w:type="spellEnd"/>
            <w:r w:rsidRPr="00350CB7">
              <w:rPr>
                <w:rFonts w:asciiTheme="minorHAnsi" w:hAnsiTheme="minorHAnsi" w:cstheme="minorHAnsi"/>
                <w:color w:val="000000"/>
                <w:sz w:val="20"/>
                <w:szCs w:val="20"/>
                <w:lang w:val="en-US" w:eastAsia="en-US"/>
              </w:rPr>
              <w:t xml:space="preserve"> is that demand for export will continue to increase also in the future. The GDP is expected to increase 2,3 % </w:t>
            </w:r>
            <w:r w:rsidRPr="00350CB7">
              <w:rPr>
                <w:rFonts w:asciiTheme="minorHAnsi" w:hAnsiTheme="minorHAnsi" w:cstheme="minorHAnsi"/>
                <w:color w:val="000000"/>
                <w:sz w:val="20"/>
                <w:szCs w:val="20"/>
                <w:lang w:val="en-US" w:eastAsia="en-US"/>
              </w:rPr>
              <w:lastRenderedPageBreak/>
              <w:t xml:space="preserve">during the last years of the forecasting period, the employment rate is expected to rise to 75 % and the unemployment rate is expected to fall to 4 %. The need for social and health care services and the demand for social and health care workforce are expected to rise, but to a lower extent than in the basic scenario. </w:t>
            </w:r>
          </w:p>
          <w:p w:rsidR="00FF1F2A" w:rsidRPr="00350CB7" w:rsidRDefault="00FF1F2A" w:rsidP="00FF1F2A">
            <w:pPr>
              <w:pStyle w:val="Paragrafoelenco"/>
              <w:numPr>
                <w:ilvl w:val="0"/>
                <w:numId w:val="38"/>
              </w:numPr>
              <w:autoSpaceDE w:val="0"/>
              <w:autoSpaceDN w:val="0"/>
              <w:adjustRightInd w:val="0"/>
              <w:spacing w:line="240" w:lineRule="auto"/>
              <w:jc w:val="left"/>
              <w:rPr>
                <w:rFonts w:asciiTheme="minorHAnsi" w:hAnsiTheme="minorHAnsi" w:cstheme="minorHAnsi"/>
                <w:color w:val="000000"/>
                <w:sz w:val="20"/>
                <w:szCs w:val="20"/>
                <w:lang w:val="en-US" w:eastAsia="en-US"/>
              </w:rPr>
            </w:pPr>
            <w:r w:rsidRPr="00350CB7">
              <w:rPr>
                <w:rFonts w:asciiTheme="minorHAnsi" w:hAnsiTheme="minorHAnsi" w:cstheme="minorHAnsi"/>
                <w:color w:val="000000"/>
                <w:sz w:val="20"/>
                <w:szCs w:val="20"/>
                <w:lang w:val="en-US" w:eastAsia="en-US"/>
              </w:rPr>
              <w:t xml:space="preserve">SOME scenario: Regarding the health and social care services, the SOME scenario is based on expenditure projections by the </w:t>
            </w:r>
            <w:proofErr w:type="spellStart"/>
            <w:r w:rsidR="00627AB2">
              <w:rPr>
                <w:rFonts w:asciiTheme="minorHAnsi" w:hAnsiTheme="minorHAnsi" w:cstheme="minorHAnsi"/>
                <w:color w:val="000000"/>
                <w:sz w:val="20"/>
                <w:szCs w:val="20"/>
                <w:lang w:val="en-US" w:eastAsia="en-US"/>
              </w:rPr>
              <w:t>MoSocH</w:t>
            </w:r>
            <w:proofErr w:type="spellEnd"/>
            <w:r w:rsidRPr="00350CB7">
              <w:rPr>
                <w:rFonts w:asciiTheme="minorHAnsi" w:hAnsiTheme="minorHAnsi" w:cstheme="minorHAnsi"/>
                <w:color w:val="000000"/>
                <w:sz w:val="20"/>
                <w:szCs w:val="20"/>
                <w:lang w:val="en-US" w:eastAsia="en-US"/>
              </w:rPr>
              <w:t>. The demand growth for health workforce is largely similar to that in the target scenario.</w:t>
            </w:r>
          </w:p>
          <w:p w:rsidR="00FF1F2A" w:rsidRPr="00350CB7" w:rsidRDefault="00FF1F2A" w:rsidP="00FF1F2A">
            <w:pPr>
              <w:pStyle w:val="Paragrafoelenco"/>
              <w:autoSpaceDE w:val="0"/>
              <w:autoSpaceDN w:val="0"/>
              <w:adjustRightInd w:val="0"/>
              <w:ind w:left="0"/>
              <w:jc w:val="left"/>
              <w:rPr>
                <w:rFonts w:asciiTheme="minorHAnsi" w:hAnsiTheme="minorHAnsi" w:cstheme="minorHAnsi"/>
                <w:color w:val="000000"/>
                <w:sz w:val="20"/>
                <w:szCs w:val="20"/>
                <w:lang w:val="en-US" w:eastAsia="en-US"/>
              </w:rPr>
            </w:pPr>
          </w:p>
          <w:p w:rsidR="00FF1F2A" w:rsidRPr="00350CB7" w:rsidRDefault="00FF1F2A" w:rsidP="00FF1F2A">
            <w:pPr>
              <w:pStyle w:val="Paragrafoelenco"/>
              <w:autoSpaceDE w:val="0"/>
              <w:autoSpaceDN w:val="0"/>
              <w:adjustRightInd w:val="0"/>
              <w:spacing w:line="240" w:lineRule="auto"/>
              <w:ind w:left="0"/>
              <w:jc w:val="left"/>
              <w:rPr>
                <w:rFonts w:asciiTheme="minorHAnsi" w:hAnsiTheme="minorHAnsi" w:cstheme="minorHAnsi"/>
                <w:color w:val="000000"/>
                <w:sz w:val="20"/>
                <w:szCs w:val="20"/>
                <w:lang w:val="en-US" w:eastAsia="en-US"/>
              </w:rPr>
            </w:pPr>
            <w:r w:rsidRPr="00350CB7">
              <w:rPr>
                <w:rFonts w:asciiTheme="minorHAnsi" w:hAnsiTheme="minorHAnsi" w:cstheme="minorHAnsi"/>
                <w:color w:val="000000"/>
                <w:sz w:val="20"/>
                <w:szCs w:val="20"/>
                <w:lang w:val="en-US" w:eastAsia="en-US"/>
              </w:rPr>
              <w:t>These alternative scenarios have not considered detailed differences (</w:t>
            </w:r>
            <w:proofErr w:type="spellStart"/>
            <w:r w:rsidRPr="00350CB7">
              <w:rPr>
                <w:rFonts w:asciiTheme="minorHAnsi" w:hAnsiTheme="minorHAnsi" w:cstheme="minorHAnsi"/>
                <w:color w:val="000000"/>
                <w:sz w:val="20"/>
                <w:szCs w:val="20"/>
                <w:lang w:val="en-US" w:eastAsia="en-US"/>
              </w:rPr>
              <w:t>eg</w:t>
            </w:r>
            <w:proofErr w:type="spellEnd"/>
            <w:r w:rsidRPr="00350CB7">
              <w:rPr>
                <w:rFonts w:asciiTheme="minorHAnsi" w:hAnsiTheme="minorHAnsi" w:cstheme="minorHAnsi"/>
                <w:color w:val="000000"/>
                <w:sz w:val="20"/>
                <w:szCs w:val="20"/>
                <w:lang w:val="en-US" w:eastAsia="en-US"/>
              </w:rPr>
              <w:t xml:space="preserve">. different skill-mixes) in the health workforce developments. The main difference is the assumption about the demand for health care and the corresponding effects on workforce. </w:t>
            </w:r>
          </w:p>
          <w:p w:rsidR="009846CF" w:rsidRPr="002D5A3D" w:rsidRDefault="009846CF" w:rsidP="00484795">
            <w:pPr>
              <w:pStyle w:val="Paragrafoelenco"/>
              <w:autoSpaceDE w:val="0"/>
              <w:autoSpaceDN w:val="0"/>
              <w:adjustRightInd w:val="0"/>
              <w:spacing w:line="240" w:lineRule="auto"/>
              <w:ind w:left="0"/>
              <w:jc w:val="left"/>
              <w:rPr>
                <w:rFonts w:asciiTheme="minorHAnsi" w:hAnsiTheme="minorHAnsi"/>
                <w:strike/>
                <w:color w:val="000000"/>
                <w:sz w:val="16"/>
                <w:szCs w:val="24"/>
                <w:lang w:val="en-US" w:eastAsia="en-US"/>
              </w:rPr>
            </w:pPr>
          </w:p>
        </w:tc>
        <w:tc>
          <w:tcPr>
            <w:tcW w:w="2488" w:type="dxa"/>
          </w:tcPr>
          <w:p w:rsidR="009846CF" w:rsidRDefault="009846CF" w:rsidP="009846CF">
            <w:pPr>
              <w:rPr>
                <w:lang w:val="en-US"/>
              </w:rPr>
            </w:pPr>
            <w:bookmarkStart w:id="0" w:name="_GoBack"/>
            <w:bookmarkEnd w:id="0"/>
          </w:p>
        </w:tc>
      </w:tr>
    </w:tbl>
    <w:p w:rsidR="009846CF" w:rsidRPr="006711DA" w:rsidRDefault="009846CF" w:rsidP="00350CB7">
      <w:pPr>
        <w:rPr>
          <w:lang w:val="en-US"/>
        </w:rPr>
      </w:pPr>
    </w:p>
    <w:sectPr w:rsidR="009846CF" w:rsidRPr="006711DA" w:rsidSect="006711DA">
      <w:pgSz w:w="16838" w:h="11906" w:orient="landscape"/>
      <w:pgMar w:top="1134" w:right="141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3724" w:rsidRDefault="003D3724" w:rsidP="001D7B74">
      <w:pPr>
        <w:spacing w:after="0" w:line="240" w:lineRule="auto"/>
      </w:pPr>
      <w:r>
        <w:separator/>
      </w:r>
    </w:p>
  </w:endnote>
  <w:endnote w:type="continuationSeparator" w:id="0">
    <w:p w:rsidR="003D3724" w:rsidRDefault="003D3724" w:rsidP="001D7B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3724" w:rsidRDefault="003D3724" w:rsidP="001D7B74">
      <w:pPr>
        <w:spacing w:after="0" w:line="240" w:lineRule="auto"/>
      </w:pPr>
      <w:r>
        <w:separator/>
      </w:r>
    </w:p>
  </w:footnote>
  <w:footnote w:type="continuationSeparator" w:id="0">
    <w:p w:rsidR="003D3724" w:rsidRDefault="003D3724" w:rsidP="001D7B74">
      <w:pPr>
        <w:spacing w:after="0" w:line="240" w:lineRule="auto"/>
      </w:pPr>
      <w:r>
        <w:continuationSeparator/>
      </w:r>
    </w:p>
  </w:footnote>
  <w:footnote w:id="1">
    <w:p w:rsidR="00627AB2" w:rsidRDefault="00627AB2" w:rsidP="00D87855">
      <w:pPr>
        <w:pStyle w:val="Testonotaapidipagina"/>
        <w:rPr>
          <w:lang w:val="en-US"/>
        </w:rPr>
      </w:pPr>
      <w:r>
        <w:rPr>
          <w:rStyle w:val="Rimandonotaapidipagina"/>
        </w:rPr>
        <w:footnoteRef/>
      </w:r>
      <w:r w:rsidRPr="005D0690">
        <w:rPr>
          <w:lang w:val="en-US"/>
        </w:rPr>
        <w:t xml:space="preserve"> See document in </w:t>
      </w:r>
      <w:proofErr w:type="spellStart"/>
      <w:r w:rsidRPr="005D0690">
        <w:rPr>
          <w:lang w:val="en-US"/>
        </w:rPr>
        <w:t>Sharepoint</w:t>
      </w:r>
      <w:proofErr w:type="spellEnd"/>
      <w:r w:rsidRPr="005D0690">
        <w:rPr>
          <w:lang w:val="en-US"/>
        </w:rPr>
        <w:t xml:space="preserve"> at </w:t>
      </w:r>
    </w:p>
    <w:p w:rsidR="00627AB2" w:rsidRPr="00D87855" w:rsidRDefault="00627AB2" w:rsidP="00D87855">
      <w:pPr>
        <w:pStyle w:val="Testonotaapidipagina"/>
        <w:rPr>
          <w:lang w:val="en-US"/>
        </w:rPr>
      </w:pPr>
      <w:r w:rsidRPr="005D0690">
        <w:rPr>
          <w:lang w:val="en-US"/>
        </w:rPr>
        <w:t>https://collab.health.fgov.be/sites/dg1/CW/JAEUHWF/WP_5/Shared%20Documents/D052%20Handbook%20on%20planning%20methodologies/140312_Inclusioncriteriaforassessmentofplanningmethodologies_WP5_PM.docx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AB2" w:rsidRPr="00E072AB" w:rsidRDefault="00627AB2">
    <w:pPr>
      <w:pStyle w:val="Intestazione"/>
      <w:rPr>
        <w:sz w:val="22"/>
        <w:lang w:val="en-US"/>
      </w:rPr>
    </w:pPr>
    <w:r w:rsidRPr="00E072AB">
      <w:rPr>
        <w:sz w:val="22"/>
        <w:lang w:val="en-US"/>
      </w:rPr>
      <w:t>FINLAND:  A SUSTAINABLE WORKFORCE PLANNING IN A CENTRALIZED HEALTH SYSTEM</w:t>
    </w:r>
  </w:p>
  <w:p w:rsidR="00627AB2" w:rsidRPr="00FA6FFE" w:rsidRDefault="00627AB2">
    <w:pPr>
      <w:pStyle w:val="Intestazione"/>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B3313"/>
    <w:multiLevelType w:val="hybridMultilevel"/>
    <w:tmpl w:val="DC6A6F08"/>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030B724F"/>
    <w:multiLevelType w:val="hybridMultilevel"/>
    <w:tmpl w:val="18EC9CC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0325F8"/>
    <w:multiLevelType w:val="hybridMultilevel"/>
    <w:tmpl w:val="0366D7D8"/>
    <w:lvl w:ilvl="0" w:tplc="04100015">
      <w:start w:val="1"/>
      <w:numFmt w:val="upperLetter"/>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B4A50AA"/>
    <w:multiLevelType w:val="hybridMultilevel"/>
    <w:tmpl w:val="DC6A6F08"/>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117E50C1"/>
    <w:multiLevelType w:val="hybridMultilevel"/>
    <w:tmpl w:val="F21CAF3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16352F85"/>
    <w:multiLevelType w:val="hybridMultilevel"/>
    <w:tmpl w:val="686EBBD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nsid w:val="163D647B"/>
    <w:multiLevelType w:val="hybridMultilevel"/>
    <w:tmpl w:val="180A7B5E"/>
    <w:lvl w:ilvl="0" w:tplc="07EAEF44">
      <w:numFmt w:val="bullet"/>
      <w:lvlText w:val="-"/>
      <w:lvlJc w:val="left"/>
      <w:pPr>
        <w:ind w:left="0" w:hanging="360"/>
      </w:pPr>
      <w:rPr>
        <w:rFonts w:ascii="Calibri" w:eastAsiaTheme="minorEastAsia" w:hAnsi="Calibri" w:cstheme="minorBidi" w:hint="default"/>
      </w:rPr>
    </w:lvl>
    <w:lvl w:ilvl="1" w:tplc="04100003" w:tentative="1">
      <w:start w:val="1"/>
      <w:numFmt w:val="bullet"/>
      <w:lvlText w:val="o"/>
      <w:lvlJc w:val="left"/>
      <w:pPr>
        <w:ind w:left="720" w:hanging="360"/>
      </w:pPr>
      <w:rPr>
        <w:rFonts w:ascii="Courier New" w:hAnsi="Courier New" w:cs="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cs="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cs="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7">
    <w:nsid w:val="16F57310"/>
    <w:multiLevelType w:val="hybridMultilevel"/>
    <w:tmpl w:val="F58A7B0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nsid w:val="1A376D3D"/>
    <w:multiLevelType w:val="hybridMultilevel"/>
    <w:tmpl w:val="FA4261E6"/>
    <w:lvl w:ilvl="0" w:tplc="07EAEF44">
      <w:numFmt w:val="bullet"/>
      <w:lvlText w:val="-"/>
      <w:lvlJc w:val="left"/>
      <w:pPr>
        <w:ind w:left="1080" w:hanging="360"/>
      </w:pPr>
      <w:rPr>
        <w:rFonts w:ascii="Calibri" w:eastAsiaTheme="minorEastAsia"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nsid w:val="1A9572E6"/>
    <w:multiLevelType w:val="hybridMultilevel"/>
    <w:tmpl w:val="8348D21A"/>
    <w:lvl w:ilvl="0" w:tplc="0410000F">
      <w:start w:val="1"/>
      <w:numFmt w:val="decimal"/>
      <w:lvlText w:val="%1."/>
      <w:lvlJc w:val="left"/>
      <w:pPr>
        <w:ind w:left="0" w:hanging="360"/>
      </w:pPr>
      <w:rPr>
        <w:rFonts w:hint="default"/>
      </w:rPr>
    </w:lvl>
    <w:lvl w:ilvl="1" w:tplc="04100003" w:tentative="1">
      <w:start w:val="1"/>
      <w:numFmt w:val="bullet"/>
      <w:lvlText w:val="o"/>
      <w:lvlJc w:val="left"/>
      <w:pPr>
        <w:ind w:left="720" w:hanging="360"/>
      </w:pPr>
      <w:rPr>
        <w:rFonts w:ascii="Courier New" w:hAnsi="Courier New" w:cs="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cs="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cs="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10">
    <w:nsid w:val="21B30339"/>
    <w:multiLevelType w:val="hybridMultilevel"/>
    <w:tmpl w:val="C79086F4"/>
    <w:lvl w:ilvl="0" w:tplc="04100013">
      <w:start w:val="1"/>
      <w:numFmt w:val="upperRoman"/>
      <w:lvlText w:val="%1."/>
      <w:lvlJc w:val="right"/>
      <w:pPr>
        <w:ind w:left="1080" w:hanging="360"/>
      </w:p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nsid w:val="24227752"/>
    <w:multiLevelType w:val="hybridMultilevel"/>
    <w:tmpl w:val="C1B491CA"/>
    <w:lvl w:ilvl="0" w:tplc="040B0005">
      <w:start w:val="1"/>
      <w:numFmt w:val="bullet"/>
      <w:lvlText w:val=""/>
      <w:lvlJc w:val="left"/>
      <w:pPr>
        <w:ind w:left="360" w:hanging="360"/>
      </w:pPr>
      <w:rPr>
        <w:rFonts w:ascii="Wingdings" w:hAnsi="Wingdings"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2">
    <w:nsid w:val="26FC41FC"/>
    <w:multiLevelType w:val="hybridMultilevel"/>
    <w:tmpl w:val="5764FD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8323E09"/>
    <w:multiLevelType w:val="hybridMultilevel"/>
    <w:tmpl w:val="3E8ABFB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2A4F503D"/>
    <w:multiLevelType w:val="hybridMultilevel"/>
    <w:tmpl w:val="2D34A482"/>
    <w:lvl w:ilvl="0" w:tplc="D502498E">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2E0C3605"/>
    <w:multiLevelType w:val="hybridMultilevel"/>
    <w:tmpl w:val="3E8ABFB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nsid w:val="32884D16"/>
    <w:multiLevelType w:val="hybridMultilevel"/>
    <w:tmpl w:val="150E1CF8"/>
    <w:lvl w:ilvl="0" w:tplc="04100011">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nsid w:val="36052B27"/>
    <w:multiLevelType w:val="hybridMultilevel"/>
    <w:tmpl w:val="8396AF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6B62379"/>
    <w:multiLevelType w:val="hybridMultilevel"/>
    <w:tmpl w:val="1D02508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nsid w:val="3C390591"/>
    <w:multiLevelType w:val="hybridMultilevel"/>
    <w:tmpl w:val="DC6A6F08"/>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nsid w:val="451A29B0"/>
    <w:multiLevelType w:val="hybridMultilevel"/>
    <w:tmpl w:val="068C939C"/>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nsid w:val="50F342D8"/>
    <w:multiLevelType w:val="hybridMultilevel"/>
    <w:tmpl w:val="308CC0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182384D"/>
    <w:multiLevelType w:val="hybridMultilevel"/>
    <w:tmpl w:val="DC6A6F08"/>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547E35A8"/>
    <w:multiLevelType w:val="hybridMultilevel"/>
    <w:tmpl w:val="34DA11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6B524EF"/>
    <w:multiLevelType w:val="hybridMultilevel"/>
    <w:tmpl w:val="354CFB9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nsid w:val="58475314"/>
    <w:multiLevelType w:val="hybridMultilevel"/>
    <w:tmpl w:val="EAF6A6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8CD005E"/>
    <w:multiLevelType w:val="hybridMultilevel"/>
    <w:tmpl w:val="82600366"/>
    <w:lvl w:ilvl="0" w:tplc="9B82586E">
      <w:start w:val="1"/>
      <w:numFmt w:val="bullet"/>
      <w:pStyle w:val="BulletedList"/>
      <w:lvlText w:val="•"/>
      <w:lvlJc w:val="left"/>
      <w:pPr>
        <w:tabs>
          <w:tab w:val="num" w:pos="502"/>
        </w:tabs>
        <w:ind w:left="502" w:hanging="360"/>
      </w:pPr>
      <w:rPr>
        <w:rFonts w:ascii="Arial" w:hAnsi="Arial" w:cs="Times New Roman" w:hint="default"/>
      </w:rPr>
    </w:lvl>
    <w:lvl w:ilvl="1" w:tplc="A250676E">
      <w:start w:val="1"/>
      <w:numFmt w:val="bullet"/>
      <w:lvlText w:val="•"/>
      <w:lvlJc w:val="left"/>
      <w:pPr>
        <w:tabs>
          <w:tab w:val="num" w:pos="1222"/>
        </w:tabs>
        <w:ind w:left="1222" w:hanging="360"/>
      </w:pPr>
      <w:rPr>
        <w:rFonts w:ascii="Arial" w:hAnsi="Arial" w:cs="Times New Roman" w:hint="default"/>
      </w:rPr>
    </w:lvl>
    <w:lvl w:ilvl="2" w:tplc="83D2B0E4">
      <w:start w:val="1"/>
      <w:numFmt w:val="bullet"/>
      <w:lvlText w:val="•"/>
      <w:lvlJc w:val="left"/>
      <w:pPr>
        <w:tabs>
          <w:tab w:val="num" w:pos="1942"/>
        </w:tabs>
        <w:ind w:left="1942" w:hanging="360"/>
      </w:pPr>
      <w:rPr>
        <w:rFonts w:ascii="Arial" w:hAnsi="Arial" w:cs="Times New Roman" w:hint="default"/>
      </w:rPr>
    </w:lvl>
    <w:lvl w:ilvl="3" w:tplc="A1B89A52">
      <w:start w:val="1"/>
      <w:numFmt w:val="bullet"/>
      <w:lvlText w:val="•"/>
      <w:lvlJc w:val="left"/>
      <w:pPr>
        <w:tabs>
          <w:tab w:val="num" w:pos="2662"/>
        </w:tabs>
        <w:ind w:left="2662" w:hanging="360"/>
      </w:pPr>
      <w:rPr>
        <w:rFonts w:ascii="Arial" w:hAnsi="Arial" w:cs="Times New Roman" w:hint="default"/>
      </w:rPr>
    </w:lvl>
    <w:lvl w:ilvl="4" w:tplc="B0F65F1C">
      <w:start w:val="1"/>
      <w:numFmt w:val="bullet"/>
      <w:lvlText w:val="•"/>
      <w:lvlJc w:val="left"/>
      <w:pPr>
        <w:tabs>
          <w:tab w:val="num" w:pos="3382"/>
        </w:tabs>
        <w:ind w:left="3382" w:hanging="360"/>
      </w:pPr>
      <w:rPr>
        <w:rFonts w:ascii="Arial" w:hAnsi="Arial" w:cs="Times New Roman" w:hint="default"/>
      </w:rPr>
    </w:lvl>
    <w:lvl w:ilvl="5" w:tplc="35649B5A">
      <w:start w:val="1"/>
      <w:numFmt w:val="bullet"/>
      <w:lvlText w:val="•"/>
      <w:lvlJc w:val="left"/>
      <w:pPr>
        <w:tabs>
          <w:tab w:val="num" w:pos="4102"/>
        </w:tabs>
        <w:ind w:left="4102" w:hanging="360"/>
      </w:pPr>
      <w:rPr>
        <w:rFonts w:ascii="Arial" w:hAnsi="Arial" w:cs="Times New Roman" w:hint="default"/>
      </w:rPr>
    </w:lvl>
    <w:lvl w:ilvl="6" w:tplc="673A8B54">
      <w:start w:val="1"/>
      <w:numFmt w:val="bullet"/>
      <w:lvlText w:val="•"/>
      <w:lvlJc w:val="left"/>
      <w:pPr>
        <w:tabs>
          <w:tab w:val="num" w:pos="4822"/>
        </w:tabs>
        <w:ind w:left="4822" w:hanging="360"/>
      </w:pPr>
      <w:rPr>
        <w:rFonts w:ascii="Arial" w:hAnsi="Arial" w:cs="Times New Roman" w:hint="default"/>
      </w:rPr>
    </w:lvl>
    <w:lvl w:ilvl="7" w:tplc="7A047CA4">
      <w:start w:val="1"/>
      <w:numFmt w:val="bullet"/>
      <w:lvlText w:val="•"/>
      <w:lvlJc w:val="left"/>
      <w:pPr>
        <w:tabs>
          <w:tab w:val="num" w:pos="5542"/>
        </w:tabs>
        <w:ind w:left="5542" w:hanging="360"/>
      </w:pPr>
      <w:rPr>
        <w:rFonts w:ascii="Arial" w:hAnsi="Arial" w:cs="Times New Roman" w:hint="default"/>
      </w:rPr>
    </w:lvl>
    <w:lvl w:ilvl="8" w:tplc="FC3C1586">
      <w:start w:val="1"/>
      <w:numFmt w:val="bullet"/>
      <w:lvlText w:val="•"/>
      <w:lvlJc w:val="left"/>
      <w:pPr>
        <w:tabs>
          <w:tab w:val="num" w:pos="6262"/>
        </w:tabs>
        <w:ind w:left="6262" w:hanging="360"/>
      </w:pPr>
      <w:rPr>
        <w:rFonts w:ascii="Arial" w:hAnsi="Arial" w:cs="Times New Roman" w:hint="default"/>
      </w:rPr>
    </w:lvl>
  </w:abstractNum>
  <w:abstractNum w:abstractNumId="27">
    <w:nsid w:val="5AAD62DA"/>
    <w:multiLevelType w:val="hybridMultilevel"/>
    <w:tmpl w:val="704CB5B2"/>
    <w:lvl w:ilvl="0" w:tplc="0410000F">
      <w:start w:val="1"/>
      <w:numFmt w:val="decimal"/>
      <w:lvlText w:val="%1."/>
      <w:lvlJc w:val="left"/>
      <w:pPr>
        <w:ind w:left="360" w:hanging="360"/>
      </w:pPr>
    </w:lvl>
    <w:lvl w:ilvl="1" w:tplc="08340C1A">
      <w:start w:val="1"/>
      <w:numFmt w:val="ordinal"/>
      <w:lvlText w:val="%2."/>
      <w:lvlJc w:val="left"/>
      <w:pPr>
        <w:ind w:left="1080" w:hanging="360"/>
      </w:pPr>
      <w:rPr>
        <w:rFonts w:hint="default"/>
      </w:r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nsid w:val="5C183DE8"/>
    <w:multiLevelType w:val="hybridMultilevel"/>
    <w:tmpl w:val="704CB5B2"/>
    <w:lvl w:ilvl="0" w:tplc="0410000F">
      <w:start w:val="1"/>
      <w:numFmt w:val="decimal"/>
      <w:lvlText w:val="%1."/>
      <w:lvlJc w:val="left"/>
      <w:pPr>
        <w:ind w:left="360" w:hanging="360"/>
      </w:pPr>
    </w:lvl>
    <w:lvl w:ilvl="1" w:tplc="08340C1A">
      <w:start w:val="1"/>
      <w:numFmt w:val="ordinal"/>
      <w:lvlText w:val="%2."/>
      <w:lvlJc w:val="left"/>
      <w:pPr>
        <w:ind w:left="1080" w:hanging="360"/>
      </w:pPr>
      <w:rPr>
        <w:rFonts w:hint="default"/>
      </w:r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nsid w:val="61ED0B7D"/>
    <w:multiLevelType w:val="hybridMultilevel"/>
    <w:tmpl w:val="C4A0D342"/>
    <w:lvl w:ilvl="0" w:tplc="04100013">
      <w:start w:val="1"/>
      <w:numFmt w:val="upperRoman"/>
      <w:lvlText w:val="%1."/>
      <w:lvlJc w:val="righ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6BFC7D96"/>
    <w:multiLevelType w:val="hybridMultilevel"/>
    <w:tmpl w:val="4F02950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nsid w:val="6C960E76"/>
    <w:multiLevelType w:val="hybridMultilevel"/>
    <w:tmpl w:val="DCFA23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CD617CC"/>
    <w:multiLevelType w:val="hybridMultilevel"/>
    <w:tmpl w:val="65BC46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D3B2E5C"/>
    <w:multiLevelType w:val="hybridMultilevel"/>
    <w:tmpl w:val="5784E79A"/>
    <w:lvl w:ilvl="0" w:tplc="0410000F">
      <w:start w:val="1"/>
      <w:numFmt w:val="decimal"/>
      <w:lvlText w:val="%1."/>
      <w:lvlJc w:val="left"/>
      <w:pPr>
        <w:ind w:left="0" w:hanging="360"/>
      </w:pPr>
      <w:rPr>
        <w:rFonts w:hint="default"/>
      </w:rPr>
    </w:lvl>
    <w:lvl w:ilvl="1" w:tplc="04100003" w:tentative="1">
      <w:start w:val="1"/>
      <w:numFmt w:val="bullet"/>
      <w:lvlText w:val="o"/>
      <w:lvlJc w:val="left"/>
      <w:pPr>
        <w:ind w:left="720" w:hanging="360"/>
      </w:pPr>
      <w:rPr>
        <w:rFonts w:ascii="Courier New" w:hAnsi="Courier New" w:cs="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cs="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cs="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34">
    <w:nsid w:val="6E4A6870"/>
    <w:multiLevelType w:val="hybridMultilevel"/>
    <w:tmpl w:val="DC6A6F08"/>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5">
    <w:nsid w:val="77803372"/>
    <w:multiLevelType w:val="hybridMultilevel"/>
    <w:tmpl w:val="C32AD682"/>
    <w:lvl w:ilvl="0" w:tplc="04100013">
      <w:start w:val="1"/>
      <w:numFmt w:val="upperRoman"/>
      <w:lvlText w:val="%1."/>
      <w:lvlJc w:val="righ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6">
    <w:nsid w:val="798D75A3"/>
    <w:multiLevelType w:val="hybridMultilevel"/>
    <w:tmpl w:val="DC6A6F08"/>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7">
    <w:nsid w:val="7BBF1E6A"/>
    <w:multiLevelType w:val="hybridMultilevel"/>
    <w:tmpl w:val="DC6A6F08"/>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34"/>
  </w:num>
  <w:num w:numId="2">
    <w:abstractNumId w:val="6"/>
  </w:num>
  <w:num w:numId="3">
    <w:abstractNumId w:val="35"/>
  </w:num>
  <w:num w:numId="4">
    <w:abstractNumId w:val="22"/>
  </w:num>
  <w:num w:numId="5">
    <w:abstractNumId w:val="28"/>
  </w:num>
  <w:num w:numId="6">
    <w:abstractNumId w:val="10"/>
  </w:num>
  <w:num w:numId="7">
    <w:abstractNumId w:val="12"/>
  </w:num>
  <w:num w:numId="8">
    <w:abstractNumId w:val="2"/>
  </w:num>
  <w:num w:numId="9">
    <w:abstractNumId w:val="0"/>
  </w:num>
  <w:num w:numId="10">
    <w:abstractNumId w:val="29"/>
  </w:num>
  <w:num w:numId="11">
    <w:abstractNumId w:val="37"/>
  </w:num>
  <w:num w:numId="12">
    <w:abstractNumId w:val="16"/>
  </w:num>
  <w:num w:numId="13">
    <w:abstractNumId w:val="19"/>
  </w:num>
  <w:num w:numId="14">
    <w:abstractNumId w:val="30"/>
  </w:num>
  <w:num w:numId="15">
    <w:abstractNumId w:val="36"/>
  </w:num>
  <w:num w:numId="16">
    <w:abstractNumId w:val="24"/>
  </w:num>
  <w:num w:numId="17">
    <w:abstractNumId w:val="3"/>
  </w:num>
  <w:num w:numId="18">
    <w:abstractNumId w:val="1"/>
  </w:num>
  <w:num w:numId="19">
    <w:abstractNumId w:val="15"/>
  </w:num>
  <w:num w:numId="20">
    <w:abstractNumId w:val="9"/>
  </w:num>
  <w:num w:numId="21">
    <w:abstractNumId w:val="5"/>
  </w:num>
  <w:num w:numId="22">
    <w:abstractNumId w:val="33"/>
  </w:num>
  <w:num w:numId="23">
    <w:abstractNumId w:val="13"/>
  </w:num>
  <w:num w:numId="24">
    <w:abstractNumId w:val="14"/>
  </w:num>
  <w:num w:numId="25">
    <w:abstractNumId w:val="20"/>
  </w:num>
  <w:num w:numId="26">
    <w:abstractNumId w:val="8"/>
  </w:num>
  <w:num w:numId="27">
    <w:abstractNumId w:val="7"/>
  </w:num>
  <w:num w:numId="28">
    <w:abstractNumId w:val="32"/>
  </w:num>
  <w:num w:numId="29">
    <w:abstractNumId w:val="18"/>
  </w:num>
  <w:num w:numId="30">
    <w:abstractNumId w:val="21"/>
  </w:num>
  <w:num w:numId="31">
    <w:abstractNumId w:val="31"/>
  </w:num>
  <w:num w:numId="32">
    <w:abstractNumId w:val="17"/>
  </w:num>
  <w:num w:numId="33">
    <w:abstractNumId w:val="25"/>
  </w:num>
  <w:num w:numId="34">
    <w:abstractNumId w:val="27"/>
  </w:num>
  <w:num w:numId="35">
    <w:abstractNumId w:val="4"/>
  </w:num>
  <w:num w:numId="36">
    <w:abstractNumId w:val="23"/>
  </w:num>
  <w:num w:numId="37">
    <w:abstractNumId w:val="26"/>
  </w:num>
  <w:num w:numId="3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useFELayout/>
  </w:compat>
  <w:rsids>
    <w:rsidRoot w:val="006711DA"/>
    <w:rsid w:val="0004524F"/>
    <w:rsid w:val="0005618E"/>
    <w:rsid w:val="00076917"/>
    <w:rsid w:val="00085C78"/>
    <w:rsid w:val="001133C7"/>
    <w:rsid w:val="00130DEA"/>
    <w:rsid w:val="001340A7"/>
    <w:rsid w:val="001371DF"/>
    <w:rsid w:val="00150F23"/>
    <w:rsid w:val="001B319F"/>
    <w:rsid w:val="001D1C1B"/>
    <w:rsid w:val="001D7B74"/>
    <w:rsid w:val="00204266"/>
    <w:rsid w:val="00240179"/>
    <w:rsid w:val="00254CDB"/>
    <w:rsid w:val="002B4B21"/>
    <w:rsid w:val="002C49EE"/>
    <w:rsid w:val="002D5A3D"/>
    <w:rsid w:val="002F4683"/>
    <w:rsid w:val="00350CB7"/>
    <w:rsid w:val="00364795"/>
    <w:rsid w:val="003D3724"/>
    <w:rsid w:val="003F174E"/>
    <w:rsid w:val="00407CD5"/>
    <w:rsid w:val="00414A79"/>
    <w:rsid w:val="00430AAB"/>
    <w:rsid w:val="004310E1"/>
    <w:rsid w:val="00431326"/>
    <w:rsid w:val="00442F82"/>
    <w:rsid w:val="00472B49"/>
    <w:rsid w:val="00475667"/>
    <w:rsid w:val="00484795"/>
    <w:rsid w:val="00497979"/>
    <w:rsid w:val="00514B16"/>
    <w:rsid w:val="005213BC"/>
    <w:rsid w:val="005561FC"/>
    <w:rsid w:val="00560E79"/>
    <w:rsid w:val="005649B5"/>
    <w:rsid w:val="005D0690"/>
    <w:rsid w:val="005F3C7C"/>
    <w:rsid w:val="00620FB1"/>
    <w:rsid w:val="00627AB2"/>
    <w:rsid w:val="00642B67"/>
    <w:rsid w:val="006711DA"/>
    <w:rsid w:val="0067614A"/>
    <w:rsid w:val="006800E3"/>
    <w:rsid w:val="00720879"/>
    <w:rsid w:val="00753AF4"/>
    <w:rsid w:val="00782ECD"/>
    <w:rsid w:val="007A0389"/>
    <w:rsid w:val="007A21B2"/>
    <w:rsid w:val="007B59DA"/>
    <w:rsid w:val="007C164E"/>
    <w:rsid w:val="007F6F1F"/>
    <w:rsid w:val="00834F87"/>
    <w:rsid w:val="00843B58"/>
    <w:rsid w:val="00882062"/>
    <w:rsid w:val="008946C1"/>
    <w:rsid w:val="008B69B0"/>
    <w:rsid w:val="008C04CF"/>
    <w:rsid w:val="008C75EA"/>
    <w:rsid w:val="00903630"/>
    <w:rsid w:val="00916039"/>
    <w:rsid w:val="00927CC1"/>
    <w:rsid w:val="009404FB"/>
    <w:rsid w:val="00940F83"/>
    <w:rsid w:val="00957984"/>
    <w:rsid w:val="009647F7"/>
    <w:rsid w:val="00967C97"/>
    <w:rsid w:val="0097388D"/>
    <w:rsid w:val="009846CF"/>
    <w:rsid w:val="009A23DD"/>
    <w:rsid w:val="00A412A0"/>
    <w:rsid w:val="00A662D5"/>
    <w:rsid w:val="00A8218A"/>
    <w:rsid w:val="00A835A0"/>
    <w:rsid w:val="00AA06C4"/>
    <w:rsid w:val="00AA4941"/>
    <w:rsid w:val="00AB23B4"/>
    <w:rsid w:val="00AF3AEB"/>
    <w:rsid w:val="00B17E1F"/>
    <w:rsid w:val="00B2599E"/>
    <w:rsid w:val="00B32955"/>
    <w:rsid w:val="00B40A51"/>
    <w:rsid w:val="00B90C1E"/>
    <w:rsid w:val="00BB7041"/>
    <w:rsid w:val="00BF3D1E"/>
    <w:rsid w:val="00BF73A4"/>
    <w:rsid w:val="00C4025C"/>
    <w:rsid w:val="00C7267A"/>
    <w:rsid w:val="00C877A5"/>
    <w:rsid w:val="00CC2BA7"/>
    <w:rsid w:val="00CC5E59"/>
    <w:rsid w:val="00CD5EBE"/>
    <w:rsid w:val="00CE1F25"/>
    <w:rsid w:val="00D136E7"/>
    <w:rsid w:val="00D2324E"/>
    <w:rsid w:val="00D330FB"/>
    <w:rsid w:val="00D57FA9"/>
    <w:rsid w:val="00D70F1D"/>
    <w:rsid w:val="00D87855"/>
    <w:rsid w:val="00DA1CA6"/>
    <w:rsid w:val="00DA6D66"/>
    <w:rsid w:val="00DD5C39"/>
    <w:rsid w:val="00E072AB"/>
    <w:rsid w:val="00E2246E"/>
    <w:rsid w:val="00E3330E"/>
    <w:rsid w:val="00E34056"/>
    <w:rsid w:val="00EA1B86"/>
    <w:rsid w:val="00EB3584"/>
    <w:rsid w:val="00EB7C85"/>
    <w:rsid w:val="00EC4DDA"/>
    <w:rsid w:val="00ED2536"/>
    <w:rsid w:val="00ED410D"/>
    <w:rsid w:val="00EE0144"/>
    <w:rsid w:val="00EE1E9B"/>
    <w:rsid w:val="00EF2659"/>
    <w:rsid w:val="00F06A1F"/>
    <w:rsid w:val="00F84CEA"/>
    <w:rsid w:val="00FA12C2"/>
    <w:rsid w:val="00FA6FFE"/>
    <w:rsid w:val="00FB0248"/>
    <w:rsid w:val="00FB38F2"/>
    <w:rsid w:val="00FC5B0D"/>
    <w:rsid w:val="00FF1F2A"/>
    <w:rsid w:val="00FF4D44"/>
    <w:rsid w:val="00FF7BD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91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6711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6711DA"/>
    <w:pPr>
      <w:spacing w:after="0" w:line="360" w:lineRule="auto"/>
      <w:ind w:left="720"/>
      <w:contextualSpacing/>
      <w:jc w:val="both"/>
    </w:pPr>
    <w:rPr>
      <w:rFonts w:ascii="Times New Roman" w:hAnsi="Times New Roman"/>
      <w:sz w:val="24"/>
    </w:rPr>
  </w:style>
  <w:style w:type="character" w:styleId="Rimandocommento">
    <w:name w:val="annotation reference"/>
    <w:basedOn w:val="Carpredefinitoparagrafo"/>
    <w:uiPriority w:val="99"/>
    <w:semiHidden/>
    <w:unhideWhenUsed/>
    <w:rsid w:val="00130DEA"/>
    <w:rPr>
      <w:sz w:val="16"/>
      <w:szCs w:val="16"/>
    </w:rPr>
  </w:style>
  <w:style w:type="paragraph" w:styleId="Testocommento">
    <w:name w:val="annotation text"/>
    <w:basedOn w:val="Normale"/>
    <w:link w:val="TestocommentoCarattere"/>
    <w:uiPriority w:val="99"/>
    <w:semiHidden/>
    <w:unhideWhenUsed/>
    <w:rsid w:val="00130DEA"/>
    <w:pPr>
      <w:spacing w:after="0" w:line="240" w:lineRule="auto"/>
      <w:jc w:val="both"/>
    </w:pPr>
    <w:rPr>
      <w:rFonts w:ascii="Times New Roman" w:hAnsi="Times New Roman"/>
      <w:sz w:val="20"/>
      <w:szCs w:val="20"/>
    </w:rPr>
  </w:style>
  <w:style w:type="character" w:customStyle="1" w:styleId="TestocommentoCarattere">
    <w:name w:val="Testo commento Carattere"/>
    <w:basedOn w:val="Carpredefinitoparagrafo"/>
    <w:link w:val="Testocommento"/>
    <w:uiPriority w:val="99"/>
    <w:semiHidden/>
    <w:rsid w:val="00130DEA"/>
    <w:rPr>
      <w:rFonts w:ascii="Times New Roman" w:eastAsiaTheme="minorEastAsia" w:hAnsi="Times New Roman"/>
      <w:sz w:val="20"/>
      <w:szCs w:val="20"/>
      <w:lang w:eastAsia="it-IT"/>
    </w:rPr>
  </w:style>
  <w:style w:type="paragraph" w:styleId="Testofumetto">
    <w:name w:val="Balloon Text"/>
    <w:basedOn w:val="Normale"/>
    <w:link w:val="TestofumettoCarattere"/>
    <w:uiPriority w:val="99"/>
    <w:semiHidden/>
    <w:unhideWhenUsed/>
    <w:rsid w:val="00130DE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30DEA"/>
    <w:rPr>
      <w:rFonts w:ascii="Tahoma" w:hAnsi="Tahoma" w:cs="Tahoma"/>
      <w:sz w:val="16"/>
      <w:szCs w:val="16"/>
    </w:rPr>
  </w:style>
  <w:style w:type="paragraph" w:styleId="Intestazione">
    <w:name w:val="header"/>
    <w:basedOn w:val="Normale"/>
    <w:link w:val="IntestazioneCarattere"/>
    <w:uiPriority w:val="99"/>
    <w:unhideWhenUsed/>
    <w:rsid w:val="001371DF"/>
    <w:pPr>
      <w:tabs>
        <w:tab w:val="center" w:pos="4819"/>
        <w:tab w:val="right" w:pos="9638"/>
      </w:tabs>
      <w:spacing w:after="0" w:line="240" w:lineRule="auto"/>
      <w:jc w:val="both"/>
    </w:pPr>
    <w:rPr>
      <w:rFonts w:ascii="Times New Roman" w:hAnsi="Times New Roman"/>
      <w:sz w:val="24"/>
    </w:rPr>
  </w:style>
  <w:style w:type="character" w:customStyle="1" w:styleId="IntestazioneCarattere">
    <w:name w:val="Intestazione Carattere"/>
    <w:basedOn w:val="Carpredefinitoparagrafo"/>
    <w:link w:val="Intestazione"/>
    <w:uiPriority w:val="99"/>
    <w:rsid w:val="001371DF"/>
    <w:rPr>
      <w:rFonts w:ascii="Times New Roman" w:eastAsiaTheme="minorEastAsia" w:hAnsi="Times New Roman"/>
      <w:sz w:val="24"/>
      <w:lang w:eastAsia="it-IT"/>
    </w:rPr>
  </w:style>
  <w:style w:type="paragraph" w:styleId="Pidipagina">
    <w:name w:val="footer"/>
    <w:basedOn w:val="Normale"/>
    <w:link w:val="PidipaginaCarattere"/>
    <w:uiPriority w:val="99"/>
    <w:semiHidden/>
    <w:unhideWhenUsed/>
    <w:rsid w:val="001D7B7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1D7B74"/>
  </w:style>
  <w:style w:type="paragraph" w:customStyle="1" w:styleId="Default">
    <w:name w:val="Default"/>
    <w:rsid w:val="00BF3D1E"/>
    <w:pPr>
      <w:autoSpaceDE w:val="0"/>
      <w:autoSpaceDN w:val="0"/>
      <w:adjustRightInd w:val="0"/>
      <w:spacing w:after="0" w:line="240" w:lineRule="auto"/>
    </w:pPr>
    <w:rPr>
      <w:rFonts w:ascii="Arial" w:hAnsi="Arial" w:cs="Arial"/>
      <w:color w:val="000000"/>
      <w:sz w:val="24"/>
      <w:szCs w:val="24"/>
    </w:rPr>
  </w:style>
  <w:style w:type="character" w:styleId="Collegamentoipertestuale">
    <w:name w:val="Hyperlink"/>
    <w:basedOn w:val="Carpredefinitoparagrafo"/>
    <w:uiPriority w:val="99"/>
    <w:unhideWhenUsed/>
    <w:rsid w:val="00D87855"/>
    <w:rPr>
      <w:color w:val="0000FF" w:themeColor="hyperlink"/>
      <w:u w:val="single"/>
    </w:rPr>
  </w:style>
  <w:style w:type="paragraph" w:styleId="Testonotaapidipagina">
    <w:name w:val="footnote text"/>
    <w:basedOn w:val="Normale"/>
    <w:link w:val="TestonotaapidipaginaCarattere"/>
    <w:uiPriority w:val="99"/>
    <w:semiHidden/>
    <w:unhideWhenUsed/>
    <w:rsid w:val="00D87855"/>
    <w:pPr>
      <w:spacing w:after="0" w:line="240" w:lineRule="auto"/>
      <w:jc w:val="both"/>
    </w:pPr>
    <w:rPr>
      <w:rFonts w:ascii="Times New Roman" w:hAnsi="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D87855"/>
    <w:rPr>
      <w:rFonts w:ascii="Times New Roman" w:hAnsi="Times New Roman"/>
      <w:sz w:val="20"/>
      <w:szCs w:val="20"/>
    </w:rPr>
  </w:style>
  <w:style w:type="character" w:styleId="Rimandonotaapidipagina">
    <w:name w:val="footnote reference"/>
    <w:basedOn w:val="Carpredefinitoparagrafo"/>
    <w:uiPriority w:val="99"/>
    <w:semiHidden/>
    <w:unhideWhenUsed/>
    <w:rsid w:val="00D87855"/>
    <w:rPr>
      <w:vertAlign w:val="superscript"/>
    </w:rPr>
  </w:style>
  <w:style w:type="paragraph" w:styleId="Sommario3">
    <w:name w:val="toc 3"/>
    <w:basedOn w:val="Normale"/>
    <w:next w:val="Normale"/>
    <w:qFormat/>
    <w:rsid w:val="00514B16"/>
    <w:pPr>
      <w:tabs>
        <w:tab w:val="right" w:leader="dot" w:pos="6803"/>
      </w:tabs>
      <w:spacing w:after="0" w:line="240" w:lineRule="auto"/>
      <w:ind w:left="397"/>
      <w:jc w:val="both"/>
    </w:pPr>
    <w:rPr>
      <w:rFonts w:ascii="Times New Roman" w:eastAsia="MS Mincho" w:hAnsi="Times New Roman" w:cs="Times New Roman"/>
      <w:lang w:val="en-GB" w:eastAsia="zh-CN"/>
    </w:rPr>
  </w:style>
  <w:style w:type="paragraph" w:customStyle="1" w:styleId="BulletedList">
    <w:name w:val="Bulleted List"/>
    <w:basedOn w:val="Normale"/>
    <w:qFormat/>
    <w:rsid w:val="00514B16"/>
    <w:pPr>
      <w:numPr>
        <w:numId w:val="37"/>
      </w:numPr>
      <w:spacing w:after="0" w:line="240" w:lineRule="auto"/>
    </w:pPr>
    <w:rPr>
      <w:rFonts w:ascii="Calibri" w:eastAsia="Calibri" w:hAnsi="Calibri" w:cs="Calibri"/>
      <w:sz w:val="16"/>
      <w:szCs w:val="16"/>
      <w:lang w:val="en-GB" w:eastAsia="en-US"/>
    </w:rPr>
  </w:style>
  <w:style w:type="paragraph" w:styleId="Nessunaspaziatura">
    <w:name w:val="No Spacing"/>
    <w:uiPriority w:val="1"/>
    <w:qFormat/>
    <w:rsid w:val="00EE0144"/>
    <w:pPr>
      <w:spacing w:after="0" w:line="240" w:lineRule="auto"/>
    </w:pPr>
    <w:rPr>
      <w:rFonts w:ascii="Calibri" w:eastAsia="Calibri" w:hAnsi="Calibri" w:cs="Times New Roman"/>
      <w:lang w:val="en-US" w:eastAsia="en-US"/>
    </w:rPr>
  </w:style>
  <w:style w:type="character" w:styleId="Collegamentovisitato">
    <w:name w:val="FollowedHyperlink"/>
    <w:basedOn w:val="Carpredefinitoparagrafo"/>
    <w:uiPriority w:val="99"/>
    <w:semiHidden/>
    <w:unhideWhenUsed/>
    <w:rsid w:val="00EE014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11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711DA"/>
    <w:pPr>
      <w:spacing w:after="0" w:line="360" w:lineRule="auto"/>
      <w:ind w:left="720"/>
      <w:contextualSpacing/>
      <w:jc w:val="both"/>
    </w:pPr>
    <w:rPr>
      <w:rFonts w:ascii="Times New Roman" w:hAnsi="Times New Roman"/>
      <w:sz w:val="24"/>
    </w:rPr>
  </w:style>
  <w:style w:type="character" w:styleId="CommentReference">
    <w:name w:val="annotation reference"/>
    <w:basedOn w:val="DefaultParagraphFont"/>
    <w:uiPriority w:val="99"/>
    <w:semiHidden/>
    <w:unhideWhenUsed/>
    <w:rsid w:val="00130DEA"/>
    <w:rPr>
      <w:sz w:val="16"/>
      <w:szCs w:val="16"/>
    </w:rPr>
  </w:style>
  <w:style w:type="paragraph" w:styleId="CommentText">
    <w:name w:val="annotation text"/>
    <w:basedOn w:val="Normal"/>
    <w:link w:val="CommentTextChar"/>
    <w:uiPriority w:val="99"/>
    <w:semiHidden/>
    <w:unhideWhenUsed/>
    <w:rsid w:val="00130DEA"/>
    <w:pPr>
      <w:spacing w:after="0" w:line="240" w:lineRule="auto"/>
      <w:jc w:val="both"/>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130DEA"/>
    <w:rPr>
      <w:rFonts w:ascii="Times New Roman" w:eastAsiaTheme="minorEastAsia" w:hAnsi="Times New Roman"/>
      <w:sz w:val="20"/>
      <w:szCs w:val="20"/>
      <w:lang w:eastAsia="it-IT"/>
    </w:rPr>
  </w:style>
  <w:style w:type="paragraph" w:styleId="BalloonText">
    <w:name w:val="Balloon Text"/>
    <w:basedOn w:val="Normal"/>
    <w:link w:val="BalloonTextChar"/>
    <w:uiPriority w:val="99"/>
    <w:semiHidden/>
    <w:unhideWhenUsed/>
    <w:rsid w:val="00130D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DEA"/>
    <w:rPr>
      <w:rFonts w:ascii="Tahoma" w:hAnsi="Tahoma" w:cs="Tahoma"/>
      <w:sz w:val="16"/>
      <w:szCs w:val="16"/>
    </w:rPr>
  </w:style>
  <w:style w:type="paragraph" w:styleId="Header">
    <w:name w:val="header"/>
    <w:basedOn w:val="Normal"/>
    <w:link w:val="HeaderChar"/>
    <w:uiPriority w:val="99"/>
    <w:unhideWhenUsed/>
    <w:rsid w:val="001371DF"/>
    <w:pPr>
      <w:tabs>
        <w:tab w:val="center" w:pos="4819"/>
        <w:tab w:val="right" w:pos="9638"/>
      </w:tabs>
      <w:spacing w:after="0" w:line="240" w:lineRule="auto"/>
      <w:jc w:val="both"/>
    </w:pPr>
    <w:rPr>
      <w:rFonts w:ascii="Times New Roman" w:hAnsi="Times New Roman"/>
      <w:sz w:val="24"/>
    </w:rPr>
  </w:style>
  <w:style w:type="character" w:customStyle="1" w:styleId="HeaderChar">
    <w:name w:val="Header Char"/>
    <w:basedOn w:val="DefaultParagraphFont"/>
    <w:link w:val="Header"/>
    <w:uiPriority w:val="99"/>
    <w:rsid w:val="001371DF"/>
    <w:rPr>
      <w:rFonts w:ascii="Times New Roman" w:eastAsiaTheme="minorEastAsia" w:hAnsi="Times New Roman"/>
      <w:sz w:val="24"/>
      <w:lang w:eastAsia="it-IT"/>
    </w:rPr>
  </w:style>
  <w:style w:type="paragraph" w:styleId="Footer">
    <w:name w:val="footer"/>
    <w:basedOn w:val="Normal"/>
    <w:link w:val="FooterChar"/>
    <w:uiPriority w:val="99"/>
    <w:semiHidden/>
    <w:unhideWhenUsed/>
    <w:rsid w:val="001D7B74"/>
    <w:pPr>
      <w:tabs>
        <w:tab w:val="center" w:pos="4819"/>
        <w:tab w:val="right" w:pos="9638"/>
      </w:tabs>
      <w:spacing w:after="0" w:line="240" w:lineRule="auto"/>
    </w:pPr>
  </w:style>
  <w:style w:type="character" w:customStyle="1" w:styleId="FooterChar">
    <w:name w:val="Footer Char"/>
    <w:basedOn w:val="DefaultParagraphFont"/>
    <w:link w:val="Footer"/>
    <w:uiPriority w:val="99"/>
    <w:semiHidden/>
    <w:rsid w:val="001D7B74"/>
  </w:style>
  <w:style w:type="paragraph" w:customStyle="1" w:styleId="Default">
    <w:name w:val="Default"/>
    <w:rsid w:val="00BF3D1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87855"/>
    <w:rPr>
      <w:color w:val="0000FF" w:themeColor="hyperlink"/>
      <w:u w:val="single"/>
    </w:rPr>
  </w:style>
  <w:style w:type="paragraph" w:styleId="FootnoteText">
    <w:name w:val="footnote text"/>
    <w:basedOn w:val="Normal"/>
    <w:link w:val="FootnoteTextChar"/>
    <w:uiPriority w:val="99"/>
    <w:semiHidden/>
    <w:unhideWhenUsed/>
    <w:rsid w:val="00D87855"/>
    <w:pPr>
      <w:spacing w:after="0" w:line="240" w:lineRule="auto"/>
      <w:jc w:val="both"/>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D87855"/>
    <w:rPr>
      <w:rFonts w:ascii="Times New Roman" w:hAnsi="Times New Roman"/>
      <w:sz w:val="20"/>
      <w:szCs w:val="20"/>
    </w:rPr>
  </w:style>
  <w:style w:type="character" w:styleId="FootnoteReference">
    <w:name w:val="footnote reference"/>
    <w:basedOn w:val="DefaultParagraphFont"/>
    <w:uiPriority w:val="99"/>
    <w:semiHidden/>
    <w:unhideWhenUsed/>
    <w:rsid w:val="00D87855"/>
    <w:rPr>
      <w:vertAlign w:val="superscript"/>
    </w:rPr>
  </w:style>
  <w:style w:type="paragraph" w:styleId="TOC3">
    <w:name w:val="toc 3"/>
    <w:basedOn w:val="Normal"/>
    <w:next w:val="Normal"/>
    <w:qFormat/>
    <w:rsid w:val="00514B16"/>
    <w:pPr>
      <w:tabs>
        <w:tab w:val="right" w:leader="dot" w:pos="6803"/>
      </w:tabs>
      <w:spacing w:after="0" w:line="240" w:lineRule="auto"/>
      <w:ind w:left="397"/>
      <w:jc w:val="both"/>
    </w:pPr>
    <w:rPr>
      <w:rFonts w:ascii="Times New Roman" w:eastAsia="MS Mincho" w:hAnsi="Times New Roman" w:cs="Times New Roman"/>
      <w:lang w:val="en-GB" w:eastAsia="zh-CN"/>
    </w:rPr>
  </w:style>
  <w:style w:type="paragraph" w:customStyle="1" w:styleId="BulletedList">
    <w:name w:val="Bulleted List"/>
    <w:basedOn w:val="Normal"/>
    <w:qFormat/>
    <w:rsid w:val="00514B16"/>
    <w:pPr>
      <w:numPr>
        <w:numId w:val="37"/>
      </w:numPr>
      <w:spacing w:after="0" w:line="240" w:lineRule="auto"/>
    </w:pPr>
    <w:rPr>
      <w:rFonts w:ascii="Calibri" w:eastAsia="Calibri" w:hAnsi="Calibri" w:cs="Calibri"/>
      <w:sz w:val="16"/>
      <w:szCs w:val="16"/>
      <w:lang w:val="en-GB" w:eastAsia="en-US"/>
    </w:rPr>
  </w:style>
  <w:style w:type="paragraph" w:styleId="NoSpacing">
    <w:name w:val="No Spacing"/>
    <w:uiPriority w:val="1"/>
    <w:qFormat/>
    <w:rsid w:val="00EE0144"/>
    <w:pPr>
      <w:spacing w:after="0" w:line="240" w:lineRule="auto"/>
    </w:pPr>
    <w:rPr>
      <w:rFonts w:ascii="Calibri" w:eastAsia="Calibri" w:hAnsi="Calibri" w:cs="Times New Roman"/>
      <w:lang w:val="en-US" w:eastAsia="en-US"/>
    </w:rPr>
  </w:style>
  <w:style w:type="character" w:styleId="FollowedHyperlink">
    <w:name w:val="FollowedHyperlink"/>
    <w:basedOn w:val="DefaultParagraphFont"/>
    <w:uiPriority w:val="99"/>
    <w:semiHidden/>
    <w:unhideWhenUsed/>
    <w:rsid w:val="00EE014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Thinking" TargetMode="External"/><Relationship Id="rId13" Type="http://schemas.openxmlformats.org/officeDocument/2006/relationships/hyperlink" Target="http://www.vatt.fi/file/vatt_publication_pdf/t154.pdf" TargetMode="External"/><Relationship Id="rId18" Type="http://schemas.openxmlformats.org/officeDocument/2006/relationships/hyperlink" Target="http://www.kuntatyonantajat.f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valvira.fi/en/" TargetMode="External"/><Relationship Id="rId7" Type="http://schemas.openxmlformats.org/officeDocument/2006/relationships/endnotes" Target="endnotes.xml"/><Relationship Id="rId12" Type="http://schemas.openxmlformats.org/officeDocument/2006/relationships/hyperlink" Target="http://www.minedu.fi/export/sites/default/OPM/Koulutus/koulutuspolitiikka/asiakirjat/Kesu_2011_2016_fi.pdf" TargetMode="External"/><Relationship Id="rId17" Type="http://schemas.openxmlformats.org/officeDocument/2006/relationships/hyperlink" Target="http://www.thl.fi/en_US/web/en/statistics/topics/financ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oph.fi/download/110071_Education_training_and_demand_for_labour_in_Finland_by_2020.pdf" TargetMode="External"/><Relationship Id="rId20" Type="http://schemas.openxmlformats.org/officeDocument/2006/relationships/hyperlink" Target="http://www.thl.fi/en_US/web/en/statistics/topics/finan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ph.fi/english/education_development/anticipation/qualitative_anticipation" TargetMode="External"/><Relationship Id="rId24" Type="http://schemas.openxmlformats.org/officeDocument/2006/relationships/hyperlink" Target="http://www.kuntatyonantajat.fi/en/Pages/default.aspx" TargetMode="External"/><Relationship Id="rId5" Type="http://schemas.openxmlformats.org/officeDocument/2006/relationships/webSettings" Target="webSettings.xml"/><Relationship Id="rId15" Type="http://schemas.openxmlformats.org/officeDocument/2006/relationships/hyperlink" Target="http://www.minedu.fi/export/sites/default/OPM/Julkaisut/2011/liitteet/tr16.pdf?lang=fi" TargetMode="External"/><Relationship Id="rId23" Type="http://schemas.openxmlformats.org/officeDocument/2006/relationships/hyperlink" Target="http://www.hammaslaakariliitto.fi/index.php?id=6404" TargetMode="External"/><Relationship Id="rId10" Type="http://schemas.openxmlformats.org/officeDocument/2006/relationships/hyperlink" Target="http://www.oph.fi/english/education_development/anticipation/quantitative_anticipation" TargetMode="External"/><Relationship Id="rId19" Type="http://schemas.openxmlformats.org/officeDocument/2006/relationships/hyperlink" Target="http://www.thl.fi/en_US/web/en/statistics/topics/personne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vatt.fi/file/vatt_publication_pdf/t161.pdf" TargetMode="External"/><Relationship Id="rId22" Type="http://schemas.openxmlformats.org/officeDocument/2006/relationships/hyperlink" Target="http://www.laakariliitto.fi/en/" TargetMode="External"/><Relationship Id="rId27"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F117E0-0B1F-4AC7-B060-8A8692E71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5417</Words>
  <Characters>30878</Characters>
  <Application>Microsoft Office Word</Application>
  <DocSecurity>0</DocSecurity>
  <Lines>257</Lines>
  <Paragraphs>72</Paragraphs>
  <ScaleCrop>false</ScaleCrop>
  <HeadingPairs>
    <vt:vector size="6" baseType="variant">
      <vt:variant>
        <vt:lpstr>Title</vt:lpstr>
      </vt:variant>
      <vt:variant>
        <vt:i4>1</vt:i4>
      </vt:variant>
      <vt:variant>
        <vt:lpstr>Otsikko</vt:lpstr>
      </vt:variant>
      <vt:variant>
        <vt:i4>1</vt:i4>
      </vt:variant>
      <vt:variant>
        <vt:lpstr>Titolo</vt:lpstr>
      </vt:variant>
      <vt:variant>
        <vt:i4>1</vt:i4>
      </vt:variant>
    </vt:vector>
  </HeadingPairs>
  <TitlesOfParts>
    <vt:vector size="3" baseType="lpstr">
      <vt:lpstr/>
      <vt:lpstr/>
      <vt:lpstr/>
    </vt:vector>
  </TitlesOfParts>
  <Company>Hewlett-Packard</Company>
  <LinksUpToDate>false</LinksUpToDate>
  <CharactersWithSpaces>36223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dc:creator>
  <cp:lastModifiedBy>Paolo</cp:lastModifiedBy>
  <cp:revision>3</cp:revision>
  <dcterms:created xsi:type="dcterms:W3CDTF">2014-05-02T10:10:00Z</dcterms:created>
  <dcterms:modified xsi:type="dcterms:W3CDTF">2014-05-04T11:21:00Z</dcterms:modified>
</cp:coreProperties>
</file>