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65C" w:rsidRDefault="0033665C" w:rsidP="0033665C">
      <w:pPr>
        <w:pStyle w:val="normal"/>
        <w:ind w:left="720"/>
        <w:jc w:val="both"/>
      </w:pPr>
      <w:r>
        <w:rPr>
          <w:rFonts w:ascii="Verdana" w:eastAsia="Verdana" w:hAnsi="Verdana" w:cs="Verdana"/>
          <w:b/>
          <w:sz w:val="24"/>
          <w:highlight w:val="white"/>
        </w:rPr>
        <w:t xml:space="preserve">Mobility groupwork structure, facilitators, statements </w:t>
      </w:r>
    </w:p>
    <w:p w:rsidR="0033665C" w:rsidRDefault="0033665C" w:rsidP="0033665C">
      <w:pPr>
        <w:pStyle w:val="normal"/>
        <w:ind w:left="720"/>
        <w:jc w:val="both"/>
      </w:pPr>
      <w:r>
        <w:rPr>
          <w:rFonts w:ascii="Verdana" w:eastAsia="Verdana" w:hAnsi="Verdana" w:cs="Verdana"/>
          <w:b/>
          <w:sz w:val="24"/>
          <w:highlight w:val="white"/>
        </w:rPr>
        <w:t>2014/12/03 Rome WP4</w:t>
      </w:r>
    </w:p>
    <w:p w:rsidR="0033665C" w:rsidRDefault="0033665C" w:rsidP="0033665C">
      <w:pPr>
        <w:pStyle w:val="normal"/>
        <w:ind w:left="720"/>
      </w:pPr>
    </w:p>
    <w:p w:rsidR="0033665C" w:rsidRDefault="0033665C" w:rsidP="0033665C">
      <w:pPr>
        <w:pStyle w:val="normal"/>
        <w:ind w:left="720"/>
      </w:pPr>
      <w:r>
        <w:rPr>
          <w:rFonts w:ascii="Verdana" w:eastAsia="Verdana" w:hAnsi="Verdana" w:cs="Verdana"/>
          <w:b/>
          <w:sz w:val="16"/>
          <w:highlight w:val="white"/>
        </w:rPr>
        <w:t>Table1 - Three analytical dimensions for WP4 Rome WS Group Work</w:t>
      </w:r>
    </w:p>
    <w:tbl>
      <w:tblPr>
        <w:tblW w:w="8700" w:type="dxa"/>
        <w:tblInd w:w="730" w:type="dxa"/>
        <w:tblLayout w:type="fixed"/>
        <w:tblLook w:val="0600"/>
      </w:tblPr>
      <w:tblGrid>
        <w:gridCol w:w="2790"/>
        <w:gridCol w:w="2745"/>
        <w:gridCol w:w="3165"/>
      </w:tblGrid>
      <w:tr w:rsidR="0033665C" w:rsidTr="001A2780">
        <w:tc>
          <w:tcPr>
            <w:tcW w:w="8700"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80"/>
              <w:jc w:val="center"/>
            </w:pPr>
            <w:r>
              <w:rPr>
                <w:rFonts w:ascii="Verdana" w:eastAsia="Verdana" w:hAnsi="Verdana" w:cs="Verdana"/>
                <w:b/>
                <w:sz w:val="16"/>
                <w:highlight w:val="white"/>
              </w:rPr>
              <w:t>THREE ANALYTICAL DIMENSIONS</w:t>
            </w:r>
          </w:p>
        </w:tc>
      </w:tr>
      <w:tr w:rsidR="0033665C" w:rsidTr="0033665C">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80"/>
              <w:jc w:val="both"/>
            </w:pPr>
            <w:r>
              <w:rPr>
                <w:rFonts w:ascii="Verdana" w:eastAsia="Verdana" w:hAnsi="Verdana" w:cs="Verdana"/>
                <w:b/>
                <w:sz w:val="16"/>
                <w:highlight w:val="white"/>
              </w:rPr>
              <w:t>A</w:t>
            </w:r>
          </w:p>
        </w:tc>
        <w:tc>
          <w:tcPr>
            <w:tcW w:w="27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80"/>
              <w:jc w:val="both"/>
            </w:pPr>
            <w:r>
              <w:rPr>
                <w:rFonts w:ascii="Verdana" w:eastAsia="Verdana" w:hAnsi="Verdana" w:cs="Verdana"/>
                <w:b/>
                <w:sz w:val="16"/>
                <w:highlight w:val="white"/>
              </w:rPr>
              <w:t>B</w:t>
            </w:r>
          </w:p>
        </w:tc>
        <w:tc>
          <w:tcPr>
            <w:tcW w:w="31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80"/>
              <w:jc w:val="both"/>
            </w:pPr>
            <w:r>
              <w:rPr>
                <w:rFonts w:ascii="Verdana" w:eastAsia="Verdana" w:hAnsi="Verdana" w:cs="Verdana"/>
                <w:b/>
                <w:sz w:val="16"/>
                <w:highlight w:val="white"/>
              </w:rPr>
              <w:t>C</w:t>
            </w:r>
          </w:p>
        </w:tc>
      </w:tr>
      <w:tr w:rsidR="0033665C" w:rsidTr="0033665C">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80"/>
            </w:pPr>
            <w:r>
              <w:rPr>
                <w:rFonts w:ascii="Verdana" w:eastAsia="Verdana" w:hAnsi="Verdana" w:cs="Verdana"/>
                <w:b/>
                <w:sz w:val="16"/>
                <w:highlight w:val="white"/>
              </w:rPr>
              <w:t>Objectives</w:t>
            </w:r>
            <w:r>
              <w:rPr>
                <w:rFonts w:ascii="Verdana" w:eastAsia="Verdana" w:hAnsi="Verdana" w:cs="Verdana"/>
                <w:sz w:val="16"/>
                <w:highlight w:val="white"/>
              </w:rPr>
              <w:t xml:space="preserve"> of HWF mobility information (HWF Planning) and </w:t>
            </w:r>
          </w:p>
          <w:p w:rsidR="0033665C" w:rsidRDefault="0033665C" w:rsidP="0033665C">
            <w:pPr>
              <w:pStyle w:val="normal"/>
              <w:spacing w:line="240" w:lineRule="auto"/>
              <w:ind w:left="80"/>
            </w:pPr>
            <w:r>
              <w:rPr>
                <w:rFonts w:ascii="Verdana" w:eastAsia="Verdana" w:hAnsi="Verdana" w:cs="Verdana"/>
                <w:b/>
                <w:sz w:val="16"/>
                <w:highlight w:val="white"/>
              </w:rPr>
              <w:t>terminology of HWF mobility types</w:t>
            </w:r>
          </w:p>
        </w:tc>
        <w:tc>
          <w:tcPr>
            <w:tcW w:w="27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80"/>
            </w:pPr>
            <w:r>
              <w:rPr>
                <w:rFonts w:ascii="Verdana" w:eastAsia="Verdana" w:hAnsi="Verdana" w:cs="Verdana"/>
                <w:b/>
                <w:sz w:val="16"/>
                <w:highlight w:val="white"/>
              </w:rPr>
              <w:t>Content and validity</w:t>
            </w:r>
            <w:r>
              <w:rPr>
                <w:rFonts w:ascii="Verdana" w:eastAsia="Verdana" w:hAnsi="Verdana" w:cs="Verdana"/>
                <w:sz w:val="16"/>
                <w:highlight w:val="white"/>
              </w:rPr>
              <w:t xml:space="preserve"> of mobility data/indicators</w:t>
            </w:r>
          </w:p>
        </w:tc>
        <w:tc>
          <w:tcPr>
            <w:tcW w:w="31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80"/>
            </w:pPr>
            <w:r>
              <w:rPr>
                <w:rFonts w:ascii="Verdana" w:eastAsia="Verdana" w:hAnsi="Verdana" w:cs="Verdana"/>
                <w:b/>
                <w:sz w:val="16"/>
                <w:highlight w:val="white"/>
              </w:rPr>
              <w:t>Methodology</w:t>
            </w:r>
            <w:r>
              <w:rPr>
                <w:rFonts w:ascii="Verdana" w:eastAsia="Verdana" w:hAnsi="Verdana" w:cs="Verdana"/>
                <w:sz w:val="16"/>
                <w:highlight w:val="white"/>
              </w:rPr>
              <w:t xml:space="preserve"> of data collection and process management</w:t>
            </w:r>
          </w:p>
          <w:p w:rsidR="0033665C" w:rsidRDefault="0033665C" w:rsidP="0033665C">
            <w:pPr>
              <w:pStyle w:val="normal"/>
              <w:ind w:left="80"/>
            </w:pPr>
          </w:p>
        </w:tc>
      </w:tr>
      <w:tr w:rsidR="0033665C" w:rsidTr="0033665C">
        <w:trPr>
          <w:trHeight w:val="3538"/>
        </w:trPr>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80"/>
            </w:pPr>
            <w:r>
              <w:rPr>
                <w:rFonts w:ascii="Verdana" w:eastAsia="Verdana" w:hAnsi="Verdana" w:cs="Verdana"/>
                <w:sz w:val="16"/>
                <w:highlight w:val="white"/>
              </w:rPr>
              <w:t>Definition and terminology of HWF mobility</w:t>
            </w:r>
          </w:p>
          <w:p w:rsidR="0033665C" w:rsidRDefault="0033665C" w:rsidP="0033665C">
            <w:pPr>
              <w:pStyle w:val="normal"/>
              <w:ind w:left="80"/>
            </w:pPr>
          </w:p>
          <w:p w:rsidR="0033665C" w:rsidRDefault="0033665C" w:rsidP="0033665C">
            <w:pPr>
              <w:pStyle w:val="normal"/>
              <w:spacing w:line="240" w:lineRule="auto"/>
              <w:ind w:left="80"/>
            </w:pPr>
            <w:r>
              <w:rPr>
                <w:rFonts w:ascii="Verdana" w:eastAsia="Verdana" w:hAnsi="Verdana" w:cs="Verdana"/>
                <w:sz w:val="16"/>
                <w:highlight w:val="white"/>
              </w:rPr>
              <w:t>Connection between HWF mobility data collection and HWF Planning</w:t>
            </w:r>
          </w:p>
          <w:p w:rsidR="0033665C" w:rsidRDefault="0033665C" w:rsidP="0033665C">
            <w:pPr>
              <w:pStyle w:val="normal"/>
              <w:spacing w:line="240" w:lineRule="auto"/>
              <w:ind w:left="80"/>
            </w:pPr>
          </w:p>
          <w:p w:rsidR="0033665C" w:rsidRDefault="0033665C" w:rsidP="0033665C">
            <w:pPr>
              <w:pStyle w:val="normal"/>
              <w:spacing w:line="240" w:lineRule="auto"/>
              <w:ind w:left="80"/>
            </w:pPr>
          </w:p>
          <w:p w:rsidR="0033665C" w:rsidRDefault="0033665C" w:rsidP="0033665C">
            <w:pPr>
              <w:pStyle w:val="normal"/>
              <w:spacing w:line="240" w:lineRule="auto"/>
              <w:ind w:left="80"/>
            </w:pPr>
          </w:p>
          <w:p w:rsidR="0033665C" w:rsidRDefault="0033665C" w:rsidP="0033665C">
            <w:pPr>
              <w:pStyle w:val="normal"/>
              <w:spacing w:line="240" w:lineRule="auto"/>
              <w:ind w:left="80"/>
            </w:pPr>
          </w:p>
          <w:p w:rsidR="0033665C" w:rsidRDefault="0033665C" w:rsidP="0033665C">
            <w:pPr>
              <w:pStyle w:val="normal"/>
              <w:spacing w:line="240" w:lineRule="auto"/>
              <w:ind w:left="80"/>
            </w:pPr>
          </w:p>
          <w:p w:rsidR="0033665C" w:rsidRDefault="0033665C" w:rsidP="0033665C">
            <w:pPr>
              <w:pStyle w:val="normal"/>
              <w:spacing w:line="240" w:lineRule="auto"/>
              <w:ind w:left="80"/>
            </w:pPr>
          </w:p>
          <w:p w:rsidR="0033665C" w:rsidRDefault="0033665C" w:rsidP="0033665C">
            <w:pPr>
              <w:pStyle w:val="normal"/>
              <w:spacing w:line="240" w:lineRule="auto"/>
              <w:ind w:left="80"/>
            </w:pPr>
            <w:r>
              <w:rPr>
                <w:rFonts w:ascii="Verdana" w:eastAsia="Verdana" w:hAnsi="Verdana" w:cs="Verdana"/>
                <w:sz w:val="16"/>
                <w:highlight w:val="white"/>
              </w:rPr>
              <w:t>(This topic will be discussed in each working group with a special focus described below.)</w:t>
            </w:r>
          </w:p>
        </w:tc>
        <w:tc>
          <w:tcPr>
            <w:tcW w:w="27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80"/>
            </w:pPr>
            <w:r>
              <w:rPr>
                <w:rFonts w:ascii="Verdana" w:eastAsia="Verdana" w:hAnsi="Verdana" w:cs="Verdana"/>
                <w:sz w:val="16"/>
                <w:highlight w:val="white"/>
              </w:rPr>
              <w:t>Related indicators</w:t>
            </w:r>
          </w:p>
          <w:p w:rsidR="0033665C" w:rsidRDefault="0033665C" w:rsidP="0033665C">
            <w:pPr>
              <w:pStyle w:val="normal"/>
              <w:spacing w:line="240" w:lineRule="auto"/>
              <w:ind w:left="80"/>
            </w:pPr>
          </w:p>
          <w:p w:rsidR="0033665C" w:rsidRDefault="0033665C" w:rsidP="0033665C">
            <w:pPr>
              <w:pStyle w:val="normal"/>
              <w:spacing w:line="240" w:lineRule="auto"/>
              <w:ind w:left="80"/>
            </w:pPr>
          </w:p>
          <w:p w:rsidR="0033665C" w:rsidRDefault="0033665C" w:rsidP="0033665C">
            <w:pPr>
              <w:pStyle w:val="normal"/>
              <w:spacing w:line="240" w:lineRule="auto"/>
              <w:ind w:left="80"/>
            </w:pPr>
          </w:p>
          <w:p w:rsidR="0033665C" w:rsidRDefault="0033665C" w:rsidP="0033665C">
            <w:pPr>
              <w:pStyle w:val="normal"/>
              <w:spacing w:line="240" w:lineRule="auto"/>
              <w:ind w:left="80"/>
            </w:pPr>
            <w:r>
              <w:rPr>
                <w:rFonts w:ascii="Verdana" w:eastAsia="Verdana" w:hAnsi="Verdana" w:cs="Verdana"/>
                <w:sz w:val="16"/>
                <w:highlight w:val="white"/>
              </w:rPr>
              <w:t>Objective/ necessity/ feasibility of common minimum set of mobility indicators</w:t>
            </w:r>
          </w:p>
          <w:p w:rsidR="0033665C" w:rsidRDefault="0033665C" w:rsidP="0033665C">
            <w:pPr>
              <w:pStyle w:val="normal"/>
              <w:ind w:left="80"/>
            </w:pPr>
          </w:p>
          <w:p w:rsidR="0033665C" w:rsidRDefault="0033665C" w:rsidP="0033665C">
            <w:pPr>
              <w:pStyle w:val="normal"/>
              <w:ind w:left="80"/>
            </w:pPr>
          </w:p>
          <w:p w:rsidR="0033665C" w:rsidRDefault="0033665C" w:rsidP="0033665C">
            <w:pPr>
              <w:pStyle w:val="normal"/>
              <w:ind w:left="80"/>
            </w:pPr>
          </w:p>
          <w:p w:rsidR="0033665C" w:rsidRDefault="0033665C" w:rsidP="0033665C">
            <w:pPr>
              <w:pStyle w:val="normal"/>
              <w:ind w:left="80"/>
            </w:pPr>
            <w:r>
              <w:rPr>
                <w:rFonts w:ascii="Verdana" w:eastAsia="Verdana" w:hAnsi="Verdana" w:cs="Verdana"/>
                <w:sz w:val="16"/>
                <w:highlight w:val="white"/>
              </w:rPr>
              <w:t>(This topic will be discussed in each working group with a special focus described below.)</w:t>
            </w:r>
          </w:p>
        </w:tc>
        <w:tc>
          <w:tcPr>
            <w:tcW w:w="31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80"/>
            </w:pPr>
            <w:r>
              <w:rPr>
                <w:rFonts w:ascii="Verdana" w:eastAsia="Verdana" w:hAnsi="Verdana" w:cs="Verdana"/>
                <w:sz w:val="16"/>
                <w:highlight w:val="white"/>
              </w:rPr>
              <w:t>Regular and/or project/pilot study/ survey based data collection</w:t>
            </w:r>
          </w:p>
          <w:p w:rsidR="0033665C" w:rsidRDefault="0033665C" w:rsidP="0033665C">
            <w:pPr>
              <w:pStyle w:val="normal"/>
              <w:ind w:left="80"/>
            </w:pPr>
          </w:p>
          <w:p w:rsidR="0033665C" w:rsidRDefault="0033665C" w:rsidP="0033665C">
            <w:pPr>
              <w:pStyle w:val="normal"/>
              <w:spacing w:line="240" w:lineRule="auto"/>
              <w:ind w:left="80"/>
            </w:pPr>
            <w:r>
              <w:rPr>
                <w:rFonts w:ascii="Verdana" w:eastAsia="Verdana" w:hAnsi="Verdana" w:cs="Verdana"/>
                <w:sz w:val="16"/>
                <w:highlight w:val="white"/>
              </w:rPr>
              <w:t>National and international level: available data, data sources, and management</w:t>
            </w:r>
          </w:p>
          <w:p w:rsidR="0033665C" w:rsidRDefault="0033665C" w:rsidP="0033665C">
            <w:pPr>
              <w:pStyle w:val="normal"/>
              <w:ind w:left="80"/>
            </w:pPr>
          </w:p>
          <w:p w:rsidR="0033665C" w:rsidRDefault="0033665C" w:rsidP="0033665C">
            <w:pPr>
              <w:pStyle w:val="normal"/>
              <w:spacing w:line="240" w:lineRule="auto"/>
              <w:ind w:left="80"/>
            </w:pPr>
            <w:r>
              <w:rPr>
                <w:rFonts w:ascii="Verdana" w:eastAsia="Verdana" w:hAnsi="Verdana" w:cs="Verdana"/>
                <w:sz w:val="16"/>
                <w:highlight w:val="white"/>
              </w:rPr>
              <w:t>International level:</w:t>
            </w:r>
          </w:p>
          <w:p w:rsidR="0033665C" w:rsidRDefault="0033665C" w:rsidP="0033665C">
            <w:pPr>
              <w:pStyle w:val="normal"/>
              <w:spacing w:line="240" w:lineRule="auto"/>
              <w:ind w:left="80"/>
            </w:pPr>
            <w:r>
              <w:rPr>
                <w:rFonts w:ascii="Verdana" w:eastAsia="Verdana" w:hAnsi="Verdana" w:cs="Verdana"/>
                <w:sz w:val="16"/>
                <w:highlight w:val="white"/>
              </w:rPr>
              <w:t>individual data management (in relation with data protection, legal framework), necessity and feasibility of joint mobility data collection</w:t>
            </w:r>
          </w:p>
          <w:p w:rsidR="0033665C" w:rsidRDefault="0033665C" w:rsidP="0033665C">
            <w:pPr>
              <w:pStyle w:val="normal"/>
              <w:spacing w:line="240" w:lineRule="auto"/>
              <w:ind w:left="80"/>
            </w:pPr>
          </w:p>
          <w:p w:rsidR="0033665C" w:rsidRDefault="0033665C" w:rsidP="0033665C">
            <w:pPr>
              <w:pStyle w:val="normal"/>
              <w:spacing w:line="240" w:lineRule="auto"/>
              <w:ind w:left="80"/>
            </w:pPr>
            <w:r>
              <w:rPr>
                <w:rFonts w:ascii="Verdana" w:eastAsia="Verdana" w:hAnsi="Verdana" w:cs="Verdana"/>
                <w:sz w:val="16"/>
                <w:highlight w:val="white"/>
              </w:rPr>
              <w:t>(This topic will be discussed in each working group with a special focus described below.)</w:t>
            </w:r>
          </w:p>
        </w:tc>
      </w:tr>
    </w:tbl>
    <w:p w:rsidR="0033665C" w:rsidRDefault="0033665C" w:rsidP="0033665C">
      <w:pPr>
        <w:pStyle w:val="normal"/>
        <w:ind w:left="720"/>
      </w:pPr>
    </w:p>
    <w:p w:rsidR="0033665C" w:rsidRDefault="0033665C" w:rsidP="0033665C">
      <w:pPr>
        <w:pStyle w:val="normal"/>
        <w:ind w:left="720"/>
      </w:pPr>
      <w:r>
        <w:rPr>
          <w:rFonts w:ascii="Verdana" w:eastAsia="Verdana" w:hAnsi="Verdana" w:cs="Verdana"/>
          <w:b/>
          <w:sz w:val="16"/>
          <w:highlight w:val="white"/>
        </w:rPr>
        <w:t>Table 2 - Three defined HWF mobility challenge areas with HWF mobility indicators in focus</w:t>
      </w:r>
    </w:p>
    <w:tbl>
      <w:tblPr>
        <w:tblW w:w="873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050"/>
        <w:gridCol w:w="4680"/>
      </w:tblGrid>
      <w:tr w:rsidR="0033665C" w:rsidTr="0033665C">
        <w:tc>
          <w:tcPr>
            <w:tcW w:w="40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720"/>
            </w:pPr>
            <w:r>
              <w:rPr>
                <w:rFonts w:ascii="Verdana" w:eastAsia="Verdana" w:hAnsi="Verdana" w:cs="Verdana"/>
                <w:b/>
                <w:sz w:val="16"/>
                <w:highlight w:val="white"/>
              </w:rPr>
              <w:t>Group name and THREE defined HWF mobility CHALLENGE AREAS</w:t>
            </w:r>
          </w:p>
          <w:p w:rsidR="0033665C" w:rsidRDefault="0033665C" w:rsidP="0033665C">
            <w:pPr>
              <w:pStyle w:val="normal"/>
              <w:spacing w:line="240" w:lineRule="auto"/>
              <w:ind w:left="720"/>
            </w:pPr>
            <w:r>
              <w:rPr>
                <w:rFonts w:ascii="Verdana" w:eastAsia="Verdana" w:hAnsi="Verdana" w:cs="Verdana"/>
                <w:sz w:val="16"/>
                <w:highlight w:val="white"/>
              </w:rPr>
              <w:t>invited facilitator, WP4 member</w:t>
            </w:r>
          </w:p>
        </w:tc>
        <w:tc>
          <w:tcPr>
            <w:tcW w:w="46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720"/>
            </w:pPr>
            <w:r>
              <w:rPr>
                <w:rFonts w:ascii="Verdana" w:eastAsia="Verdana" w:hAnsi="Verdana" w:cs="Verdana"/>
                <w:b/>
                <w:sz w:val="16"/>
                <w:highlight w:val="white"/>
              </w:rPr>
              <w:t>Mobility indicators in focus (Main analytical dimension B)</w:t>
            </w:r>
          </w:p>
        </w:tc>
      </w:tr>
      <w:tr w:rsidR="0033665C" w:rsidTr="0033665C">
        <w:trPr>
          <w:trHeight w:val="1468"/>
        </w:trPr>
        <w:tc>
          <w:tcPr>
            <w:tcW w:w="40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720"/>
            </w:pPr>
            <w:r>
              <w:rPr>
                <w:rFonts w:ascii="Verdana" w:eastAsia="Verdana" w:hAnsi="Verdana" w:cs="Verdana"/>
                <w:b/>
                <w:sz w:val="16"/>
                <w:highlight w:val="white"/>
              </w:rPr>
              <w:t>Group 1</w:t>
            </w:r>
          </w:p>
          <w:p w:rsidR="0033665C" w:rsidRDefault="0033665C" w:rsidP="0033665C">
            <w:pPr>
              <w:pStyle w:val="normal"/>
              <w:spacing w:line="240" w:lineRule="auto"/>
              <w:ind w:left="720"/>
            </w:pPr>
          </w:p>
          <w:p w:rsidR="0033665C" w:rsidRDefault="0033665C" w:rsidP="0033665C">
            <w:pPr>
              <w:pStyle w:val="normal"/>
              <w:spacing w:line="240" w:lineRule="auto"/>
              <w:ind w:left="720"/>
            </w:pPr>
            <w:r>
              <w:rPr>
                <w:rFonts w:ascii="Verdana" w:eastAsia="Verdana" w:hAnsi="Verdana" w:cs="Verdana"/>
                <w:sz w:val="16"/>
                <w:highlight w:val="white"/>
              </w:rPr>
              <w:t>"Worldwide students" - Mobility in professional training</w:t>
            </w:r>
          </w:p>
          <w:p w:rsidR="0033665C" w:rsidRDefault="0033665C" w:rsidP="0033665C">
            <w:pPr>
              <w:pStyle w:val="normal"/>
              <w:spacing w:line="240" w:lineRule="auto"/>
              <w:ind w:left="720"/>
            </w:pPr>
          </w:p>
          <w:p w:rsidR="0033665C" w:rsidRDefault="0033665C" w:rsidP="0033665C">
            <w:pPr>
              <w:pStyle w:val="normal"/>
              <w:spacing w:line="240" w:lineRule="auto"/>
              <w:ind w:left="720"/>
            </w:pPr>
            <w:r>
              <w:rPr>
                <w:rFonts w:ascii="Verdana" w:eastAsia="Verdana" w:hAnsi="Verdana" w:cs="Verdana"/>
                <w:sz w:val="16"/>
                <w:highlight w:val="white"/>
              </w:rPr>
              <w:t>Melanie Boeckmann, Edit Eke</w:t>
            </w:r>
          </w:p>
        </w:tc>
        <w:tc>
          <w:tcPr>
            <w:tcW w:w="46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720"/>
            </w:pPr>
            <w:r>
              <w:rPr>
                <w:rFonts w:ascii="Verdana" w:eastAsia="Verdana" w:hAnsi="Verdana" w:cs="Verdana"/>
                <w:b/>
                <w:sz w:val="16"/>
                <w:highlight w:val="white"/>
              </w:rPr>
              <w:t>1/B</w:t>
            </w:r>
          </w:p>
          <w:p w:rsidR="0033665C" w:rsidRDefault="0033665C" w:rsidP="0033665C">
            <w:pPr>
              <w:pStyle w:val="normal"/>
              <w:spacing w:line="240" w:lineRule="auto"/>
              <w:ind w:left="720"/>
            </w:pPr>
          </w:p>
          <w:p w:rsidR="0033665C" w:rsidRDefault="0033665C" w:rsidP="0033665C">
            <w:pPr>
              <w:pStyle w:val="normal"/>
              <w:spacing w:line="240" w:lineRule="auto"/>
              <w:ind w:left="720"/>
            </w:pPr>
            <w:r>
              <w:rPr>
                <w:rFonts w:ascii="Verdana" w:eastAsia="Verdana" w:hAnsi="Verdana" w:cs="Verdana"/>
                <w:sz w:val="16"/>
                <w:highlight w:val="white"/>
              </w:rPr>
              <w:t>Mobility indicators in focus:</w:t>
            </w:r>
          </w:p>
          <w:p w:rsidR="0033665C" w:rsidRDefault="0033665C" w:rsidP="0033665C">
            <w:pPr>
              <w:pStyle w:val="normal"/>
              <w:spacing w:line="240" w:lineRule="auto"/>
              <w:ind w:left="720"/>
            </w:pPr>
            <w:r>
              <w:rPr>
                <w:rFonts w:ascii="Verdana" w:eastAsia="Verdana" w:hAnsi="Verdana" w:cs="Verdana"/>
                <w:sz w:val="16"/>
                <w:highlight w:val="white"/>
              </w:rPr>
              <w:t>Students’ intake, scholarship programmes, number of graduates, proportion of foreign students, uotas, numerus clausus, etc.</w:t>
            </w:r>
          </w:p>
        </w:tc>
      </w:tr>
      <w:tr w:rsidR="0033665C" w:rsidTr="0033665C">
        <w:tc>
          <w:tcPr>
            <w:tcW w:w="40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720"/>
            </w:pPr>
            <w:r>
              <w:rPr>
                <w:rFonts w:ascii="Verdana" w:eastAsia="Verdana" w:hAnsi="Verdana" w:cs="Verdana"/>
                <w:b/>
                <w:sz w:val="16"/>
                <w:highlight w:val="white"/>
              </w:rPr>
              <w:t>Group2</w:t>
            </w:r>
          </w:p>
          <w:p w:rsidR="0033665C" w:rsidRDefault="0033665C" w:rsidP="0033665C">
            <w:pPr>
              <w:pStyle w:val="normal"/>
              <w:spacing w:line="240" w:lineRule="auto"/>
              <w:ind w:left="720"/>
            </w:pPr>
          </w:p>
          <w:p w:rsidR="0033665C" w:rsidRDefault="0033665C" w:rsidP="0033665C">
            <w:pPr>
              <w:pStyle w:val="normal"/>
              <w:spacing w:line="240" w:lineRule="auto"/>
              <w:ind w:left="720"/>
            </w:pPr>
            <w:r>
              <w:rPr>
                <w:rFonts w:ascii="Verdana" w:eastAsia="Verdana" w:hAnsi="Verdana" w:cs="Verdana"/>
                <w:sz w:val="16"/>
                <w:highlight w:val="white"/>
              </w:rPr>
              <w:t>"Promised land" – Reliance on foreign health professionals,</w:t>
            </w:r>
          </w:p>
          <w:p w:rsidR="0033665C" w:rsidRDefault="0033665C" w:rsidP="0033665C">
            <w:pPr>
              <w:pStyle w:val="normal"/>
              <w:spacing w:line="240" w:lineRule="auto"/>
              <w:ind w:left="720"/>
            </w:pPr>
          </w:p>
          <w:p w:rsidR="0033665C" w:rsidRDefault="0033665C" w:rsidP="0033665C">
            <w:pPr>
              <w:pStyle w:val="normal"/>
              <w:spacing w:line="240" w:lineRule="auto"/>
              <w:ind w:left="720"/>
            </w:pPr>
            <w:r>
              <w:rPr>
                <w:rFonts w:ascii="Verdana" w:eastAsia="Verdana" w:hAnsi="Verdana" w:cs="Verdana"/>
                <w:sz w:val="16"/>
                <w:highlight w:val="white"/>
              </w:rPr>
              <w:t>Matt Edwards, Réka Kovács</w:t>
            </w:r>
          </w:p>
        </w:tc>
        <w:tc>
          <w:tcPr>
            <w:tcW w:w="46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720"/>
            </w:pPr>
            <w:r>
              <w:rPr>
                <w:rFonts w:ascii="Verdana" w:eastAsia="Verdana" w:hAnsi="Verdana" w:cs="Verdana"/>
                <w:b/>
                <w:sz w:val="16"/>
                <w:highlight w:val="white"/>
              </w:rPr>
              <w:t>2/B</w:t>
            </w:r>
          </w:p>
          <w:p w:rsidR="0033665C" w:rsidRDefault="0033665C" w:rsidP="0033665C">
            <w:pPr>
              <w:pStyle w:val="normal"/>
              <w:spacing w:line="240" w:lineRule="auto"/>
              <w:ind w:left="720"/>
            </w:pPr>
          </w:p>
          <w:p w:rsidR="0033665C" w:rsidRDefault="0033665C" w:rsidP="0033665C">
            <w:pPr>
              <w:pStyle w:val="normal"/>
              <w:spacing w:line="240" w:lineRule="auto"/>
              <w:ind w:left="720"/>
            </w:pPr>
            <w:r>
              <w:rPr>
                <w:rFonts w:ascii="Verdana" w:eastAsia="Verdana" w:hAnsi="Verdana" w:cs="Verdana"/>
                <w:sz w:val="16"/>
                <w:highlight w:val="white"/>
              </w:rPr>
              <w:t>Mobility indicators in focus:</w:t>
            </w:r>
          </w:p>
          <w:p w:rsidR="0033665C" w:rsidRDefault="0033665C" w:rsidP="0033665C">
            <w:pPr>
              <w:pStyle w:val="normal"/>
              <w:spacing w:line="240" w:lineRule="auto"/>
              <w:ind w:left="720"/>
            </w:pPr>
            <w:r>
              <w:rPr>
                <w:rFonts w:ascii="Verdana" w:eastAsia="Verdana" w:hAnsi="Verdana" w:cs="Verdana"/>
                <w:sz w:val="16"/>
                <w:highlight w:val="white"/>
              </w:rPr>
              <w:t>reliance on foreign HWF Inflow, recognition of foreign diplomas, long term mobility, circular mobility, commuters, etc.</w:t>
            </w:r>
          </w:p>
        </w:tc>
      </w:tr>
      <w:tr w:rsidR="0033665C" w:rsidTr="0033665C">
        <w:tc>
          <w:tcPr>
            <w:tcW w:w="40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720"/>
              <w:jc w:val="both"/>
            </w:pPr>
            <w:r>
              <w:rPr>
                <w:rFonts w:ascii="Verdana" w:eastAsia="Verdana" w:hAnsi="Verdana" w:cs="Verdana"/>
                <w:b/>
                <w:sz w:val="16"/>
                <w:highlight w:val="white"/>
              </w:rPr>
              <w:t>Group3</w:t>
            </w:r>
            <w:r>
              <w:rPr>
                <w:rFonts w:ascii="Verdana" w:eastAsia="Verdana" w:hAnsi="Verdana" w:cs="Verdana"/>
                <w:sz w:val="16"/>
                <w:highlight w:val="white"/>
              </w:rPr>
              <w:t xml:space="preserve"> </w:t>
            </w:r>
          </w:p>
          <w:p w:rsidR="0033665C" w:rsidRDefault="0033665C" w:rsidP="0033665C">
            <w:pPr>
              <w:pStyle w:val="normal"/>
              <w:spacing w:line="240" w:lineRule="auto"/>
              <w:ind w:left="720"/>
            </w:pPr>
          </w:p>
          <w:p w:rsidR="0033665C" w:rsidRDefault="0033665C" w:rsidP="0033665C">
            <w:pPr>
              <w:pStyle w:val="normal"/>
              <w:spacing w:line="240" w:lineRule="auto"/>
              <w:ind w:left="720"/>
            </w:pPr>
            <w:r>
              <w:rPr>
                <w:rFonts w:ascii="Verdana" w:eastAsia="Verdana" w:hAnsi="Verdana" w:cs="Verdana"/>
                <w:sz w:val="16"/>
                <w:highlight w:val="white"/>
              </w:rPr>
              <w:t xml:space="preserve">"Damaged HWF and health care provision"– Facing loss  </w:t>
            </w:r>
          </w:p>
          <w:p w:rsidR="0033665C" w:rsidRDefault="0033665C" w:rsidP="0033665C">
            <w:pPr>
              <w:pStyle w:val="normal"/>
              <w:spacing w:line="240" w:lineRule="auto"/>
              <w:ind w:left="720"/>
              <w:jc w:val="both"/>
            </w:pPr>
          </w:p>
          <w:p w:rsidR="0033665C" w:rsidRDefault="0033665C" w:rsidP="0033665C">
            <w:pPr>
              <w:pStyle w:val="normal"/>
              <w:spacing w:line="240" w:lineRule="auto"/>
              <w:ind w:left="720"/>
            </w:pPr>
            <w:r>
              <w:rPr>
                <w:rFonts w:ascii="Verdana" w:eastAsia="Verdana" w:hAnsi="Verdana" w:cs="Verdana"/>
                <w:sz w:val="16"/>
                <w:highlight w:val="white"/>
              </w:rPr>
              <w:t>Paolo Michelutti, Zoltán Cserháti</w:t>
            </w:r>
          </w:p>
        </w:tc>
        <w:tc>
          <w:tcPr>
            <w:tcW w:w="46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720"/>
            </w:pPr>
            <w:r>
              <w:rPr>
                <w:rFonts w:ascii="Verdana" w:eastAsia="Verdana" w:hAnsi="Verdana" w:cs="Verdana"/>
                <w:b/>
                <w:sz w:val="16"/>
                <w:highlight w:val="white"/>
              </w:rPr>
              <w:t>3/B</w:t>
            </w:r>
          </w:p>
          <w:p w:rsidR="0033665C" w:rsidRDefault="0033665C" w:rsidP="0033665C">
            <w:pPr>
              <w:pStyle w:val="normal"/>
              <w:spacing w:line="240" w:lineRule="auto"/>
              <w:ind w:left="720"/>
            </w:pPr>
          </w:p>
          <w:p w:rsidR="0033665C" w:rsidRDefault="0033665C" w:rsidP="0033665C">
            <w:pPr>
              <w:pStyle w:val="normal"/>
              <w:spacing w:line="240" w:lineRule="auto"/>
              <w:ind w:left="720"/>
            </w:pPr>
            <w:r>
              <w:rPr>
                <w:rFonts w:ascii="Verdana" w:eastAsia="Verdana" w:hAnsi="Verdana" w:cs="Verdana"/>
                <w:sz w:val="16"/>
                <w:highlight w:val="white"/>
              </w:rPr>
              <w:t>Mobility indicators in focus:</w:t>
            </w:r>
          </w:p>
          <w:p w:rsidR="0033665C" w:rsidRDefault="0033665C" w:rsidP="0033665C">
            <w:pPr>
              <w:pStyle w:val="normal"/>
              <w:spacing w:line="240" w:lineRule="auto"/>
              <w:ind w:left="720"/>
            </w:pPr>
            <w:r>
              <w:rPr>
                <w:rFonts w:ascii="Verdana" w:eastAsia="Verdana" w:hAnsi="Verdana" w:cs="Verdana"/>
                <w:sz w:val="16"/>
                <w:highlight w:val="white"/>
              </w:rPr>
              <w:t>HWF Outflow, “Intention to leave”, long term mobility, return migration, commuters, etc.</w:t>
            </w:r>
          </w:p>
        </w:tc>
      </w:tr>
    </w:tbl>
    <w:p w:rsidR="0033665C" w:rsidRDefault="0033665C" w:rsidP="0033665C">
      <w:pPr>
        <w:pStyle w:val="normal"/>
        <w:ind w:left="720" w:right="280"/>
        <w:jc w:val="both"/>
        <w:rPr>
          <w:rFonts w:ascii="Verdana" w:eastAsia="Verdana" w:hAnsi="Verdana" w:cs="Verdana"/>
          <w:b/>
          <w:sz w:val="16"/>
          <w:highlight w:val="white"/>
        </w:rPr>
      </w:pPr>
    </w:p>
    <w:p w:rsidR="0033665C" w:rsidRDefault="0033665C">
      <w:pPr>
        <w:spacing w:after="200" w:line="276" w:lineRule="auto"/>
        <w:rPr>
          <w:rFonts w:ascii="Verdana" w:eastAsia="Verdana" w:hAnsi="Verdana" w:cs="Verdana"/>
          <w:b/>
          <w:color w:val="000000"/>
          <w:sz w:val="16"/>
          <w:szCs w:val="20"/>
          <w:highlight w:val="white"/>
        </w:rPr>
      </w:pPr>
      <w:r>
        <w:rPr>
          <w:rFonts w:ascii="Verdana" w:eastAsia="Verdana" w:hAnsi="Verdana" w:cs="Verdana"/>
          <w:b/>
          <w:sz w:val="16"/>
          <w:highlight w:val="white"/>
        </w:rPr>
        <w:br w:type="page"/>
      </w:r>
    </w:p>
    <w:p w:rsidR="0033665C" w:rsidRDefault="0033665C" w:rsidP="0033665C">
      <w:pPr>
        <w:pStyle w:val="normal"/>
        <w:ind w:left="720" w:right="280"/>
        <w:jc w:val="both"/>
      </w:pPr>
      <w:r>
        <w:rPr>
          <w:rFonts w:ascii="Verdana" w:eastAsia="Verdana" w:hAnsi="Verdana" w:cs="Verdana"/>
          <w:b/>
          <w:sz w:val="16"/>
          <w:highlight w:val="white"/>
        </w:rPr>
        <w:lastRenderedPageBreak/>
        <w:t>Table 3 - Statements to discuss in the three groups according to the three main analytical dimensions</w:t>
      </w:r>
    </w:p>
    <w:tbl>
      <w:tblPr>
        <w:tblW w:w="873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730"/>
      </w:tblGrid>
      <w:tr w:rsidR="0033665C" w:rsidTr="0033665C">
        <w:tc>
          <w:tcPr>
            <w:tcW w:w="87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720"/>
            </w:pPr>
            <w:r>
              <w:rPr>
                <w:rFonts w:ascii="Verdana" w:eastAsia="Verdana" w:hAnsi="Verdana" w:cs="Verdana"/>
                <w:b/>
                <w:sz w:val="16"/>
                <w:highlight w:val="white"/>
              </w:rPr>
              <w:t>Group1, Melanie</w:t>
            </w:r>
          </w:p>
          <w:p w:rsidR="0033665C" w:rsidRDefault="0033665C" w:rsidP="0033665C">
            <w:pPr>
              <w:pStyle w:val="normal"/>
              <w:spacing w:line="240" w:lineRule="auto"/>
              <w:ind w:left="720"/>
            </w:pPr>
            <w:r>
              <w:rPr>
                <w:rFonts w:ascii="Verdana" w:eastAsia="Verdana" w:hAnsi="Verdana" w:cs="Verdana"/>
                <w:sz w:val="16"/>
                <w:highlight w:val="white"/>
              </w:rPr>
              <w:t>"Worldwide students" - Mobility in professional training</w:t>
            </w:r>
          </w:p>
        </w:tc>
      </w:tr>
      <w:tr w:rsidR="0033665C" w:rsidTr="0033665C">
        <w:tc>
          <w:tcPr>
            <w:tcW w:w="8730" w:type="dxa"/>
            <w:tcMar>
              <w:top w:w="100" w:type="dxa"/>
              <w:left w:w="100" w:type="dxa"/>
              <w:bottom w:w="100" w:type="dxa"/>
              <w:right w:w="100" w:type="dxa"/>
            </w:tcMar>
          </w:tcPr>
          <w:p w:rsidR="0033665C" w:rsidRDefault="0033665C" w:rsidP="0033665C">
            <w:pPr>
              <w:pStyle w:val="normal"/>
              <w:widowControl w:val="0"/>
              <w:spacing w:line="240" w:lineRule="auto"/>
              <w:ind w:left="720"/>
            </w:pPr>
            <w:r>
              <w:rPr>
                <w:rFonts w:ascii="Verdana" w:eastAsia="Verdana" w:hAnsi="Verdana" w:cs="Verdana"/>
                <w:b/>
                <w:sz w:val="16"/>
                <w:highlight w:val="white"/>
              </w:rPr>
              <w:t xml:space="preserve">1/A </w:t>
            </w:r>
            <w:r>
              <w:rPr>
                <w:rFonts w:ascii="Verdana" w:eastAsia="Verdana" w:hAnsi="Verdana" w:cs="Verdana"/>
                <w:sz w:val="16"/>
                <w:highlight w:val="white"/>
              </w:rPr>
              <w:t>Mobility of health students during graduate training and mobility of graduated HWF in postgraduate professional training for specialisation is an increasing phenomenon that should be monitored and studied in detail. As this mobility type can challenge country level stakeholders of HWF planning and have implications at EU level, related indicators should be channeled into HWF planning.</w:t>
            </w:r>
          </w:p>
        </w:tc>
      </w:tr>
      <w:tr w:rsidR="0033665C" w:rsidTr="0033665C">
        <w:tc>
          <w:tcPr>
            <w:tcW w:w="8730" w:type="dxa"/>
            <w:tcMar>
              <w:top w:w="100" w:type="dxa"/>
              <w:left w:w="100" w:type="dxa"/>
              <w:bottom w:w="100" w:type="dxa"/>
              <w:right w:w="100" w:type="dxa"/>
            </w:tcMar>
          </w:tcPr>
          <w:p w:rsidR="0033665C" w:rsidRDefault="0033665C" w:rsidP="0033665C">
            <w:pPr>
              <w:pStyle w:val="normal"/>
              <w:widowControl w:val="0"/>
              <w:spacing w:line="240" w:lineRule="auto"/>
              <w:ind w:left="720"/>
            </w:pPr>
            <w:r>
              <w:rPr>
                <w:rFonts w:ascii="Verdana" w:eastAsia="Verdana" w:hAnsi="Verdana" w:cs="Verdana"/>
                <w:b/>
                <w:sz w:val="16"/>
                <w:highlight w:val="white"/>
              </w:rPr>
              <w:t xml:space="preserve">1/B </w:t>
            </w:r>
            <w:r>
              <w:rPr>
                <w:rFonts w:ascii="Verdana" w:eastAsia="Verdana" w:hAnsi="Verdana" w:cs="Verdana"/>
                <w:sz w:val="16"/>
                <w:highlight w:val="white"/>
              </w:rPr>
              <w:t>Data categories and indicators can be identified, agreed and shared at EU level to monitor and follow the training mobility of health students and graduated health professionals.</w:t>
            </w:r>
          </w:p>
        </w:tc>
      </w:tr>
      <w:tr w:rsidR="0033665C" w:rsidTr="0033665C">
        <w:tc>
          <w:tcPr>
            <w:tcW w:w="8730" w:type="dxa"/>
            <w:tcMar>
              <w:top w:w="100" w:type="dxa"/>
              <w:left w:w="100" w:type="dxa"/>
              <w:bottom w:w="100" w:type="dxa"/>
              <w:right w:w="100" w:type="dxa"/>
            </w:tcMar>
          </w:tcPr>
          <w:p w:rsidR="0033665C" w:rsidRDefault="0033665C" w:rsidP="0033665C">
            <w:pPr>
              <w:pStyle w:val="normal"/>
              <w:spacing w:line="240" w:lineRule="auto"/>
              <w:ind w:left="720" w:right="280"/>
              <w:jc w:val="both"/>
            </w:pPr>
            <w:r>
              <w:rPr>
                <w:rFonts w:ascii="Verdana" w:eastAsia="Verdana" w:hAnsi="Verdana" w:cs="Verdana"/>
                <w:b/>
                <w:sz w:val="16"/>
                <w:highlight w:val="white"/>
              </w:rPr>
              <w:t xml:space="preserve">1/C </w:t>
            </w:r>
            <w:r>
              <w:rPr>
                <w:rFonts w:ascii="Verdana" w:eastAsia="Verdana" w:hAnsi="Verdana" w:cs="Verdana"/>
                <w:sz w:val="16"/>
                <w:highlight w:val="white"/>
              </w:rPr>
              <w:t xml:space="preserve">By providing benefits for MDs in their Continuing Professional Development (CPD)- whether obtained abroad - MDs’ interest should be governed to update their multiple registration and licences. CPD completed abroad should be mutually recognised between Member States. </w:t>
            </w:r>
          </w:p>
        </w:tc>
      </w:tr>
    </w:tbl>
    <w:p w:rsidR="0033665C" w:rsidRDefault="0033665C" w:rsidP="0033665C">
      <w:pPr>
        <w:pStyle w:val="normal"/>
        <w:ind w:left="720" w:right="280"/>
        <w:jc w:val="both"/>
      </w:pPr>
    </w:p>
    <w:tbl>
      <w:tblPr>
        <w:tblW w:w="873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730"/>
      </w:tblGrid>
      <w:tr w:rsidR="0033665C" w:rsidTr="0033665C">
        <w:tc>
          <w:tcPr>
            <w:tcW w:w="87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720"/>
            </w:pPr>
            <w:r>
              <w:rPr>
                <w:rFonts w:ascii="Verdana" w:eastAsia="Verdana" w:hAnsi="Verdana" w:cs="Verdana"/>
                <w:b/>
                <w:sz w:val="16"/>
                <w:highlight w:val="white"/>
              </w:rPr>
              <w:t>Group2, Matt</w:t>
            </w:r>
          </w:p>
          <w:p w:rsidR="0033665C" w:rsidRDefault="0033665C" w:rsidP="0033665C">
            <w:pPr>
              <w:pStyle w:val="normal"/>
              <w:spacing w:line="240" w:lineRule="auto"/>
              <w:ind w:left="720"/>
            </w:pPr>
            <w:r>
              <w:rPr>
                <w:rFonts w:ascii="Verdana" w:eastAsia="Verdana" w:hAnsi="Verdana" w:cs="Verdana"/>
                <w:sz w:val="16"/>
                <w:highlight w:val="white"/>
              </w:rPr>
              <w:t xml:space="preserve">"Promised land" – Reliance on foreign health professionals </w:t>
            </w:r>
          </w:p>
        </w:tc>
      </w:tr>
      <w:tr w:rsidR="0033665C" w:rsidTr="0033665C">
        <w:tc>
          <w:tcPr>
            <w:tcW w:w="8730" w:type="dxa"/>
            <w:tcMar>
              <w:top w:w="100" w:type="dxa"/>
              <w:left w:w="100" w:type="dxa"/>
              <w:bottom w:w="100" w:type="dxa"/>
              <w:right w:w="100" w:type="dxa"/>
            </w:tcMar>
          </w:tcPr>
          <w:p w:rsidR="0033665C" w:rsidRDefault="0033665C" w:rsidP="0033665C">
            <w:pPr>
              <w:pStyle w:val="normal"/>
              <w:ind w:left="720" w:right="280"/>
              <w:jc w:val="both"/>
            </w:pPr>
            <w:r>
              <w:rPr>
                <w:rFonts w:ascii="Verdana" w:eastAsia="Verdana" w:hAnsi="Verdana" w:cs="Verdana"/>
                <w:b/>
                <w:sz w:val="16"/>
                <w:highlight w:val="white"/>
              </w:rPr>
              <w:t xml:space="preserve">2/A </w:t>
            </w:r>
            <w:r>
              <w:rPr>
                <w:rFonts w:ascii="Verdana" w:eastAsia="Verdana" w:hAnsi="Verdana" w:cs="Verdana"/>
                <w:sz w:val="16"/>
                <w:highlight w:val="white"/>
              </w:rPr>
              <w:t>HWF mobility has a strong relevance to HWF Planning. Accurate information on HWF mobility could  be directly channeled  into HWF planning. As intra-EU mobility data is of limited use on its own within the framework of global HWF mobility, non-EU mobility should be included in the data collections and used for HWF planning.</w:t>
            </w:r>
          </w:p>
        </w:tc>
      </w:tr>
      <w:tr w:rsidR="0033665C" w:rsidTr="0033665C">
        <w:tc>
          <w:tcPr>
            <w:tcW w:w="8730" w:type="dxa"/>
            <w:tcMar>
              <w:top w:w="100" w:type="dxa"/>
              <w:left w:w="100" w:type="dxa"/>
              <w:bottom w:w="100" w:type="dxa"/>
              <w:right w:w="100" w:type="dxa"/>
            </w:tcMar>
          </w:tcPr>
          <w:p w:rsidR="0033665C" w:rsidRDefault="0033665C" w:rsidP="0033665C">
            <w:pPr>
              <w:pStyle w:val="normal"/>
              <w:ind w:left="720" w:right="280"/>
              <w:jc w:val="both"/>
            </w:pPr>
            <w:r>
              <w:rPr>
                <w:rFonts w:ascii="Verdana" w:eastAsia="Verdana" w:hAnsi="Verdana" w:cs="Verdana"/>
                <w:b/>
                <w:sz w:val="18"/>
                <w:highlight w:val="white"/>
              </w:rPr>
              <w:t xml:space="preserve">2/B </w:t>
            </w:r>
            <w:r>
              <w:rPr>
                <w:rFonts w:ascii="Verdana" w:eastAsia="Verdana" w:hAnsi="Verdana" w:cs="Verdana"/>
                <w:sz w:val="16"/>
                <w:highlight w:val="white"/>
              </w:rPr>
              <w:t>A common HWF mobility indicator set is to be agreed upon that all EU countries are able to collect and provide. This indicator set should monitor the most relevant types of HWF mobility regarding healthcare provision, and also should ensure the estimation of reliance on foreign HWF and the hazard of health workforce outflow for the healthcare provision.</w:t>
            </w:r>
          </w:p>
        </w:tc>
      </w:tr>
      <w:tr w:rsidR="0033665C" w:rsidTr="0033665C">
        <w:tc>
          <w:tcPr>
            <w:tcW w:w="8730" w:type="dxa"/>
            <w:tcMar>
              <w:top w:w="100" w:type="dxa"/>
              <w:left w:w="100" w:type="dxa"/>
              <w:bottom w:w="100" w:type="dxa"/>
              <w:right w:w="100" w:type="dxa"/>
            </w:tcMar>
          </w:tcPr>
          <w:p w:rsidR="0033665C" w:rsidRDefault="0033665C" w:rsidP="0033665C">
            <w:pPr>
              <w:pStyle w:val="normal"/>
              <w:ind w:left="720"/>
              <w:jc w:val="both"/>
            </w:pPr>
            <w:r>
              <w:rPr>
                <w:rFonts w:ascii="Verdana" w:eastAsia="Verdana" w:hAnsi="Verdana" w:cs="Verdana"/>
                <w:b/>
                <w:sz w:val="18"/>
                <w:highlight w:val="white"/>
              </w:rPr>
              <w:t>2/C</w:t>
            </w:r>
            <w:r>
              <w:rPr>
                <w:rFonts w:ascii="Verdana" w:eastAsia="Verdana" w:hAnsi="Verdana" w:cs="Verdana"/>
                <w:sz w:val="16"/>
                <w:highlight w:val="white"/>
              </w:rPr>
              <w:t>, Legally regulated, automatic direct information exchange between Member States is essential to monitor HWF mobility in a timely manner. Any HWF mobility data collection can be effective only with two-way communications, and incentives that demonstrate mutual benefits.</w:t>
            </w:r>
          </w:p>
        </w:tc>
      </w:tr>
    </w:tbl>
    <w:p w:rsidR="0033665C" w:rsidRDefault="0033665C" w:rsidP="0033665C">
      <w:pPr>
        <w:pStyle w:val="normal"/>
        <w:ind w:left="720" w:right="280"/>
        <w:jc w:val="both"/>
      </w:pPr>
    </w:p>
    <w:tbl>
      <w:tblPr>
        <w:tblW w:w="873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730"/>
      </w:tblGrid>
      <w:tr w:rsidR="0033665C" w:rsidTr="0033665C">
        <w:tc>
          <w:tcPr>
            <w:tcW w:w="87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3665C" w:rsidRDefault="0033665C" w:rsidP="0033665C">
            <w:pPr>
              <w:pStyle w:val="normal"/>
              <w:spacing w:line="240" w:lineRule="auto"/>
              <w:ind w:left="720"/>
            </w:pPr>
            <w:r>
              <w:rPr>
                <w:rFonts w:ascii="Verdana" w:eastAsia="Verdana" w:hAnsi="Verdana" w:cs="Verdana"/>
                <w:b/>
                <w:sz w:val="16"/>
                <w:highlight w:val="white"/>
              </w:rPr>
              <w:t>Group3, Paolo</w:t>
            </w:r>
          </w:p>
          <w:p w:rsidR="0033665C" w:rsidRDefault="0033665C" w:rsidP="0033665C">
            <w:pPr>
              <w:pStyle w:val="normal"/>
              <w:spacing w:line="240" w:lineRule="auto"/>
              <w:ind w:left="720"/>
            </w:pPr>
            <w:r>
              <w:rPr>
                <w:rFonts w:ascii="Verdana" w:eastAsia="Verdana" w:hAnsi="Verdana" w:cs="Verdana"/>
                <w:sz w:val="16"/>
                <w:highlight w:val="white"/>
              </w:rPr>
              <w:t>"Damaged HWF and health care provision"– Facing loss</w:t>
            </w:r>
          </w:p>
        </w:tc>
      </w:tr>
      <w:tr w:rsidR="0033665C" w:rsidTr="0033665C">
        <w:tc>
          <w:tcPr>
            <w:tcW w:w="8730" w:type="dxa"/>
            <w:tcMar>
              <w:top w:w="100" w:type="dxa"/>
              <w:left w:w="100" w:type="dxa"/>
              <w:bottom w:w="100" w:type="dxa"/>
              <w:right w:w="100" w:type="dxa"/>
            </w:tcMar>
          </w:tcPr>
          <w:p w:rsidR="0033665C" w:rsidRDefault="0033665C" w:rsidP="0033665C">
            <w:pPr>
              <w:pStyle w:val="normal"/>
              <w:ind w:left="720"/>
              <w:jc w:val="both"/>
            </w:pPr>
            <w:r>
              <w:rPr>
                <w:rFonts w:ascii="Verdana" w:eastAsia="Verdana" w:hAnsi="Verdana" w:cs="Verdana"/>
                <w:b/>
                <w:sz w:val="16"/>
                <w:highlight w:val="white"/>
              </w:rPr>
              <w:t xml:space="preserve">3/A </w:t>
            </w:r>
            <w:r>
              <w:rPr>
                <w:rFonts w:ascii="Verdana" w:eastAsia="Verdana" w:hAnsi="Verdana" w:cs="Verdana"/>
                <w:sz w:val="16"/>
                <w:highlight w:val="white"/>
              </w:rPr>
              <w:t>Monitoring HWF mobility gives opportunity for policy makers to include HWF mobility information into HWF planning, and establish focused/targeted recruitment and retention interventions/strategies for balancing inequalities and managing the composition of HWF (HRH management).</w:t>
            </w:r>
          </w:p>
        </w:tc>
      </w:tr>
      <w:tr w:rsidR="0033665C" w:rsidTr="0033665C">
        <w:tc>
          <w:tcPr>
            <w:tcW w:w="8730" w:type="dxa"/>
            <w:tcMar>
              <w:top w:w="100" w:type="dxa"/>
              <w:left w:w="100" w:type="dxa"/>
              <w:bottom w:w="100" w:type="dxa"/>
              <w:right w:w="100" w:type="dxa"/>
            </w:tcMar>
          </w:tcPr>
          <w:p w:rsidR="0033665C" w:rsidRDefault="0033665C" w:rsidP="0033665C">
            <w:pPr>
              <w:pStyle w:val="normal"/>
              <w:ind w:left="720"/>
              <w:jc w:val="both"/>
            </w:pPr>
            <w:r>
              <w:rPr>
                <w:rFonts w:ascii="Verdana" w:eastAsia="Verdana" w:hAnsi="Verdana" w:cs="Verdana"/>
                <w:b/>
                <w:sz w:val="18"/>
                <w:highlight w:val="white"/>
              </w:rPr>
              <w:t xml:space="preserve">3/B </w:t>
            </w:r>
            <w:r>
              <w:rPr>
                <w:rFonts w:ascii="Verdana" w:eastAsia="Verdana" w:hAnsi="Verdana" w:cs="Verdana"/>
                <w:sz w:val="16"/>
                <w:highlight w:val="white"/>
              </w:rPr>
              <w:t>Various types of data/indicator and methodology may be important to gain at least estimations on HWF mobility. Qualitative methods (e.g. interviews with hospital leaders, fieldwork at institutes, units) should be incorporated into the process of gaining a deeper understanding of HWF mobility at national level. Proper quantitative methods should be identified at least for estimating HWF outflow.</w:t>
            </w:r>
          </w:p>
        </w:tc>
      </w:tr>
      <w:tr w:rsidR="0033665C" w:rsidTr="0033665C">
        <w:tc>
          <w:tcPr>
            <w:tcW w:w="8730" w:type="dxa"/>
            <w:tcMar>
              <w:top w:w="100" w:type="dxa"/>
              <w:left w:w="100" w:type="dxa"/>
              <w:bottom w:w="100" w:type="dxa"/>
              <w:right w:w="100" w:type="dxa"/>
            </w:tcMar>
          </w:tcPr>
          <w:p w:rsidR="0033665C" w:rsidRDefault="0033665C" w:rsidP="0033665C">
            <w:pPr>
              <w:pStyle w:val="normal"/>
              <w:spacing w:line="240" w:lineRule="auto"/>
              <w:ind w:left="720" w:right="280"/>
              <w:jc w:val="both"/>
            </w:pPr>
            <w:r>
              <w:rPr>
                <w:rFonts w:ascii="Verdana" w:eastAsia="Verdana" w:hAnsi="Verdana" w:cs="Verdana"/>
                <w:b/>
                <w:sz w:val="18"/>
                <w:highlight w:val="white"/>
              </w:rPr>
              <w:t xml:space="preserve">3/C </w:t>
            </w:r>
            <w:r>
              <w:rPr>
                <w:rFonts w:ascii="Verdana" w:eastAsia="Verdana" w:hAnsi="Verdana" w:cs="Verdana"/>
                <w:sz w:val="16"/>
                <w:highlight w:val="white"/>
              </w:rPr>
              <w:t>Data protection should allow the tracking of individual data, since using aggregated data does not make HWF mobility monitoring satisfactory or possible at all.</w:t>
            </w:r>
          </w:p>
        </w:tc>
      </w:tr>
    </w:tbl>
    <w:p w:rsidR="0033665C" w:rsidRDefault="0033665C" w:rsidP="0033665C">
      <w:pPr>
        <w:pStyle w:val="normal"/>
        <w:ind w:left="720" w:right="280"/>
        <w:jc w:val="both"/>
      </w:pPr>
    </w:p>
    <w:p w:rsidR="0033665C" w:rsidRDefault="0033665C" w:rsidP="0033665C">
      <w:pPr>
        <w:pStyle w:val="normal"/>
        <w:ind w:left="720" w:right="280"/>
        <w:jc w:val="both"/>
      </w:pPr>
    </w:p>
    <w:p w:rsidR="0033665C" w:rsidRDefault="0033665C" w:rsidP="0033665C">
      <w:pPr>
        <w:pStyle w:val="normal"/>
        <w:ind w:left="720"/>
        <w:jc w:val="both"/>
      </w:pPr>
    </w:p>
    <w:p w:rsidR="0033665C" w:rsidRDefault="0033665C" w:rsidP="0033665C">
      <w:pPr>
        <w:pStyle w:val="normal"/>
        <w:ind w:left="720"/>
        <w:jc w:val="both"/>
      </w:pPr>
    </w:p>
    <w:p w:rsidR="0033665C" w:rsidRDefault="0033665C">
      <w:pPr>
        <w:spacing w:after="200" w:line="276" w:lineRule="auto"/>
        <w:rPr>
          <w:rFonts w:ascii="Verdana" w:eastAsia="Verdana" w:hAnsi="Verdana" w:cs="Verdana"/>
          <w:b/>
          <w:color w:val="000000"/>
          <w:sz w:val="18"/>
          <w:szCs w:val="20"/>
          <w:highlight w:val="white"/>
        </w:rPr>
      </w:pPr>
      <w:r>
        <w:rPr>
          <w:rFonts w:ascii="Verdana" w:eastAsia="Verdana" w:hAnsi="Verdana" w:cs="Verdana"/>
          <w:b/>
          <w:sz w:val="18"/>
          <w:highlight w:val="white"/>
        </w:rPr>
        <w:br w:type="page"/>
      </w:r>
    </w:p>
    <w:p w:rsidR="0033665C" w:rsidRDefault="0033665C" w:rsidP="0033665C">
      <w:pPr>
        <w:pStyle w:val="normal"/>
        <w:ind w:left="720"/>
        <w:jc w:val="both"/>
      </w:pPr>
      <w:r>
        <w:rPr>
          <w:rFonts w:ascii="Verdana" w:eastAsia="Verdana" w:hAnsi="Verdana" w:cs="Verdana"/>
          <w:b/>
          <w:sz w:val="18"/>
          <w:highlight w:val="white"/>
        </w:rPr>
        <w:lastRenderedPageBreak/>
        <w:t>Brief description of the groupwork:</w:t>
      </w:r>
    </w:p>
    <w:p w:rsidR="0033665C" w:rsidRDefault="0033665C" w:rsidP="0033665C">
      <w:pPr>
        <w:pStyle w:val="normal"/>
        <w:ind w:left="720"/>
      </w:pPr>
    </w:p>
    <w:p w:rsidR="0033665C" w:rsidRDefault="0033665C" w:rsidP="0033665C">
      <w:pPr>
        <w:pStyle w:val="normal"/>
        <w:ind w:left="720"/>
        <w:jc w:val="both"/>
      </w:pPr>
    </w:p>
    <w:p w:rsidR="0033665C" w:rsidRDefault="0033665C" w:rsidP="0033665C">
      <w:pPr>
        <w:pStyle w:val="normal"/>
        <w:ind w:left="720"/>
        <w:jc w:val="both"/>
      </w:pPr>
      <w:r>
        <w:rPr>
          <w:rFonts w:ascii="Verdana" w:eastAsia="Verdana" w:hAnsi="Verdana" w:cs="Verdana"/>
          <w:b/>
          <w:sz w:val="18"/>
          <w:highlight w:val="white"/>
        </w:rPr>
        <w:t>STRUCTURE</w:t>
      </w:r>
    </w:p>
    <w:p w:rsidR="0033665C" w:rsidRDefault="0033665C" w:rsidP="0033665C">
      <w:pPr>
        <w:pStyle w:val="normal"/>
        <w:ind w:left="720"/>
        <w:jc w:val="both"/>
      </w:pPr>
    </w:p>
    <w:p w:rsidR="0033665C" w:rsidRDefault="0033665C" w:rsidP="0033665C">
      <w:pPr>
        <w:pStyle w:val="normal"/>
        <w:ind w:left="720"/>
        <w:jc w:val="both"/>
      </w:pPr>
      <w:r>
        <w:rPr>
          <w:rFonts w:ascii="Verdana" w:eastAsia="Verdana" w:hAnsi="Verdana" w:cs="Verdana"/>
          <w:b/>
          <w:sz w:val="18"/>
          <w:highlight w:val="white"/>
        </w:rPr>
        <w:t>There are three analytical dimensions (A, B, C).</w:t>
      </w:r>
    </w:p>
    <w:p w:rsidR="0033665C" w:rsidRDefault="0033665C" w:rsidP="0033665C">
      <w:pPr>
        <w:pStyle w:val="normal"/>
        <w:ind w:left="720"/>
        <w:jc w:val="both"/>
      </w:pPr>
      <w:r>
        <w:rPr>
          <w:rFonts w:ascii="Verdana" w:eastAsia="Verdana" w:hAnsi="Verdana" w:cs="Verdana"/>
          <w:sz w:val="18"/>
          <w:highlight w:val="white"/>
        </w:rPr>
        <w:t>These are to structure and guide the group discussions. Each group will discuss what type(s) of HWF mobility to monitor, with what objective (A), what kind of indicators to consider for that (B), and how to collect data for those indicators (C). (Table 1) Possible indicators to focus according to three defined HWF mobility challenge areas are listed in Table 2 separately.</w:t>
      </w:r>
    </w:p>
    <w:p w:rsidR="0033665C" w:rsidRDefault="0033665C" w:rsidP="0033665C">
      <w:pPr>
        <w:pStyle w:val="normal"/>
        <w:ind w:left="720"/>
      </w:pPr>
    </w:p>
    <w:p w:rsidR="0033665C" w:rsidRDefault="0033665C" w:rsidP="0033665C">
      <w:pPr>
        <w:pStyle w:val="normal"/>
        <w:ind w:left="720"/>
        <w:jc w:val="both"/>
      </w:pPr>
      <w:r>
        <w:rPr>
          <w:rFonts w:ascii="Verdana" w:eastAsia="Verdana" w:hAnsi="Verdana" w:cs="Verdana"/>
          <w:b/>
          <w:sz w:val="18"/>
          <w:highlight w:val="white"/>
        </w:rPr>
        <w:t>There are three groups (1,2,3).</w:t>
      </w:r>
    </w:p>
    <w:p w:rsidR="0033665C" w:rsidRDefault="0033665C" w:rsidP="0033665C">
      <w:pPr>
        <w:pStyle w:val="normal"/>
        <w:ind w:left="720"/>
        <w:jc w:val="both"/>
      </w:pPr>
      <w:r>
        <w:rPr>
          <w:rFonts w:ascii="Verdana" w:eastAsia="Verdana" w:hAnsi="Verdana" w:cs="Verdana"/>
          <w:sz w:val="18"/>
          <w:highlight w:val="white"/>
        </w:rPr>
        <w:t>Each group has a defined HWF mobility challenge area the group members focus on: training mobility (Group 1), reliance on foreign HWF (Group 2), massive outflow of HWF (Group 3). Composition of the groups will follow this main theme as much as possible: some group members (optimally bigger part) represent states that face this challenge, the others are kinds of consultants to contribute with “fresh” eyes and expertise.</w:t>
      </w:r>
    </w:p>
    <w:p w:rsidR="0033665C" w:rsidRDefault="0033665C" w:rsidP="0033665C">
      <w:pPr>
        <w:pStyle w:val="normal"/>
        <w:ind w:left="720"/>
        <w:jc w:val="both"/>
      </w:pPr>
    </w:p>
    <w:p w:rsidR="0033665C" w:rsidRDefault="0033665C" w:rsidP="0033665C">
      <w:pPr>
        <w:pStyle w:val="normal"/>
        <w:ind w:left="720"/>
        <w:jc w:val="both"/>
      </w:pPr>
      <w:r>
        <w:rPr>
          <w:rFonts w:ascii="Verdana" w:eastAsia="Verdana" w:hAnsi="Verdana" w:cs="Verdana"/>
          <w:b/>
          <w:sz w:val="18"/>
          <w:highlight w:val="white"/>
        </w:rPr>
        <w:t>There are three statements in each group. (1/ A-B-C, 2/ A-B-C, 3/ A-B-C)</w:t>
      </w:r>
    </w:p>
    <w:p w:rsidR="0033665C" w:rsidRDefault="0033665C" w:rsidP="0033665C">
      <w:pPr>
        <w:pStyle w:val="normal"/>
        <w:ind w:left="720"/>
        <w:jc w:val="both"/>
      </w:pPr>
      <w:r>
        <w:rPr>
          <w:rFonts w:ascii="Verdana" w:eastAsia="Verdana" w:hAnsi="Verdana" w:cs="Verdana"/>
          <w:sz w:val="18"/>
          <w:highlight w:val="white"/>
        </w:rPr>
        <w:t>These statements are composed according to the three analytical dimension, reflecting the defined HWF mobility challenge area of that group . These reflect WP4 suggestion on related D042 recommendations, thus the results of the discussion and  the agreed modification also serves as kind of a validation of that recommendation. (Table 3)</w:t>
      </w:r>
    </w:p>
    <w:p w:rsidR="0033665C" w:rsidRDefault="0033665C" w:rsidP="0033665C">
      <w:pPr>
        <w:pStyle w:val="normal"/>
        <w:ind w:left="720"/>
      </w:pPr>
    </w:p>
    <w:p w:rsidR="0033665C" w:rsidRDefault="0033665C" w:rsidP="0033665C">
      <w:pPr>
        <w:pStyle w:val="normal"/>
        <w:ind w:left="720"/>
        <w:jc w:val="both"/>
      </w:pPr>
      <w:r>
        <w:rPr>
          <w:rFonts w:ascii="Verdana" w:eastAsia="Verdana" w:hAnsi="Verdana" w:cs="Verdana"/>
          <w:b/>
          <w:sz w:val="18"/>
          <w:highlight w:val="white"/>
        </w:rPr>
        <w:t>COURSE OF DISCUSSION</w:t>
      </w:r>
    </w:p>
    <w:p w:rsidR="0033665C" w:rsidRDefault="0033665C" w:rsidP="0033665C">
      <w:pPr>
        <w:pStyle w:val="normal"/>
        <w:ind w:left="720"/>
        <w:jc w:val="both"/>
      </w:pPr>
    </w:p>
    <w:p w:rsidR="0033665C" w:rsidRDefault="0033665C" w:rsidP="0033665C">
      <w:pPr>
        <w:pStyle w:val="normal"/>
        <w:numPr>
          <w:ilvl w:val="0"/>
          <w:numId w:val="16"/>
        </w:numPr>
        <w:ind w:left="1440" w:hanging="720"/>
        <w:contextualSpacing/>
        <w:jc w:val="both"/>
        <w:rPr>
          <w:rFonts w:ascii="Verdana" w:eastAsia="Verdana" w:hAnsi="Verdana" w:cs="Verdana"/>
          <w:sz w:val="18"/>
          <w:highlight w:val="white"/>
        </w:rPr>
      </w:pPr>
      <w:r>
        <w:rPr>
          <w:rFonts w:ascii="Verdana" w:eastAsia="Verdana" w:hAnsi="Verdana" w:cs="Verdana"/>
          <w:sz w:val="18"/>
          <w:highlight w:val="white"/>
        </w:rPr>
        <w:t xml:space="preserve">The group chooses </w:t>
      </w:r>
      <w:r>
        <w:rPr>
          <w:rFonts w:ascii="Verdana" w:eastAsia="Verdana" w:hAnsi="Verdana" w:cs="Verdana"/>
          <w:b/>
          <w:sz w:val="18"/>
          <w:highlight w:val="white"/>
        </w:rPr>
        <w:t>one group representative</w:t>
      </w:r>
      <w:r>
        <w:rPr>
          <w:rFonts w:ascii="Verdana" w:eastAsia="Verdana" w:hAnsi="Verdana" w:cs="Verdana"/>
          <w:sz w:val="18"/>
          <w:highlight w:val="white"/>
        </w:rPr>
        <w:t xml:space="preserve"> to give plenary summary and feedback (10 minutes) on the discussion of the group theme. A template supports to take notes of the discussion.</w:t>
      </w:r>
    </w:p>
    <w:p w:rsidR="0033665C" w:rsidRDefault="0033665C" w:rsidP="0033665C">
      <w:pPr>
        <w:pStyle w:val="normal"/>
        <w:numPr>
          <w:ilvl w:val="0"/>
          <w:numId w:val="16"/>
        </w:numPr>
        <w:ind w:left="1440" w:hanging="720"/>
        <w:contextualSpacing/>
        <w:jc w:val="both"/>
        <w:rPr>
          <w:rFonts w:ascii="Verdana" w:eastAsia="Verdana" w:hAnsi="Verdana" w:cs="Verdana"/>
          <w:sz w:val="18"/>
          <w:highlight w:val="white"/>
        </w:rPr>
      </w:pPr>
      <w:r>
        <w:rPr>
          <w:rFonts w:ascii="Verdana" w:eastAsia="Verdana" w:hAnsi="Verdana" w:cs="Verdana"/>
          <w:sz w:val="18"/>
          <w:highlight w:val="white"/>
        </w:rPr>
        <w:t>Facilitated discussion of the HWF mobility challenge area according to the three main analytical dimension, and sharing views on the three statements.</w:t>
      </w:r>
    </w:p>
    <w:p w:rsidR="0033665C" w:rsidRDefault="0033665C" w:rsidP="0033665C">
      <w:pPr>
        <w:pStyle w:val="normal"/>
        <w:numPr>
          <w:ilvl w:val="0"/>
          <w:numId w:val="16"/>
        </w:numPr>
        <w:ind w:left="1440" w:hanging="720"/>
        <w:contextualSpacing/>
        <w:jc w:val="both"/>
        <w:rPr>
          <w:rFonts w:ascii="Verdana" w:eastAsia="Verdana" w:hAnsi="Verdana" w:cs="Verdana"/>
          <w:sz w:val="18"/>
          <w:highlight w:val="white"/>
        </w:rPr>
      </w:pPr>
      <w:r>
        <w:rPr>
          <w:rFonts w:ascii="Verdana" w:eastAsia="Verdana" w:hAnsi="Verdana" w:cs="Verdana"/>
          <w:sz w:val="18"/>
          <w:highlight w:val="white"/>
        </w:rPr>
        <w:t xml:space="preserve">The group identifies together </w:t>
      </w:r>
      <w:r>
        <w:rPr>
          <w:rFonts w:ascii="Verdana" w:eastAsia="Verdana" w:hAnsi="Verdana" w:cs="Verdana"/>
          <w:b/>
          <w:sz w:val="18"/>
          <w:highlight w:val="white"/>
        </w:rPr>
        <w:t>one related question</w:t>
      </w:r>
      <w:r>
        <w:rPr>
          <w:rFonts w:ascii="Verdana" w:eastAsia="Verdana" w:hAnsi="Verdana" w:cs="Verdana"/>
          <w:sz w:val="18"/>
          <w:highlight w:val="white"/>
        </w:rPr>
        <w:t xml:space="preserve"> they want to bring up at plenary.</w:t>
      </w:r>
    </w:p>
    <w:p w:rsidR="0033665C" w:rsidRDefault="0033665C" w:rsidP="0033665C">
      <w:pPr>
        <w:pStyle w:val="normal"/>
        <w:ind w:left="720"/>
        <w:jc w:val="both"/>
      </w:pPr>
    </w:p>
    <w:p w:rsidR="0033665C" w:rsidRDefault="0033665C" w:rsidP="0033665C">
      <w:pPr>
        <w:pStyle w:val="normal"/>
        <w:ind w:left="720"/>
        <w:rPr>
          <w:rFonts w:ascii="Verdana" w:eastAsia="Verdana" w:hAnsi="Verdana" w:cs="Verdana"/>
          <w:b/>
          <w:sz w:val="18"/>
          <w:highlight w:val="white"/>
        </w:rPr>
      </w:pPr>
      <w:r>
        <w:rPr>
          <w:rFonts w:ascii="Verdana" w:eastAsia="Verdana" w:hAnsi="Verdana" w:cs="Verdana"/>
          <w:b/>
          <w:sz w:val="18"/>
          <w:highlight w:val="white"/>
        </w:rPr>
        <w:t>PLENARY FEEDBACK AND INTERACTIVE DISCUSSION</w:t>
      </w:r>
    </w:p>
    <w:p w:rsidR="0033665C" w:rsidRDefault="0033665C" w:rsidP="0033665C">
      <w:pPr>
        <w:pStyle w:val="normal"/>
        <w:ind w:left="720"/>
        <w:jc w:val="both"/>
      </w:pPr>
      <w:r>
        <w:rPr>
          <w:rFonts w:ascii="Verdana" w:eastAsia="Verdana" w:hAnsi="Verdana" w:cs="Verdana"/>
          <w:sz w:val="18"/>
          <w:highlight w:val="white"/>
        </w:rPr>
        <w:br/>
        <w:t>Each group representative gives summary and feedback, plus shares the ONE question the group agreed on to have the other participants’ views (10+10 minutes / group). The template filled in can help the feedback and the plenary interaction.</w:t>
      </w:r>
    </w:p>
    <w:p w:rsidR="008A6195" w:rsidRPr="00166D04" w:rsidRDefault="008A6195" w:rsidP="0033665C">
      <w:pPr>
        <w:ind w:left="720"/>
        <w:rPr>
          <w:szCs w:val="18"/>
        </w:rPr>
      </w:pPr>
    </w:p>
    <w:sectPr w:rsidR="008A6195" w:rsidRPr="00166D04" w:rsidSect="00A031B1">
      <w:headerReference w:type="even" r:id="rId11"/>
      <w:headerReference w:type="default" r:id="rId12"/>
      <w:headerReference w:type="first" r:id="rId13"/>
      <w:pgSz w:w="11900" w:h="16840"/>
      <w:pgMar w:top="1900" w:right="1552" w:bottom="1440" w:left="720" w:header="45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8F7" w:rsidRDefault="00A518F7">
      <w:r>
        <w:separator/>
      </w:r>
    </w:p>
  </w:endnote>
  <w:endnote w:type="continuationSeparator" w:id="0">
    <w:p w:rsidR="00A518F7" w:rsidRDefault="00A518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8F7" w:rsidRDefault="00A518F7">
      <w:r>
        <w:separator/>
      </w:r>
    </w:p>
  </w:footnote>
  <w:footnote w:type="continuationSeparator" w:id="0">
    <w:p w:rsidR="00A518F7" w:rsidRDefault="00A518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309" w:rsidRDefault="009B6E55">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45pt;height:841.9pt;z-index:-251656192;mso-wrap-edited:f;mso-position-horizontal:center;mso-position-horizontal-relative:margin;mso-position-vertical:center;mso-position-vertical-relative:margin" wrapcoords="-27 0 -27 21561 21600 21561 21600 0 -27 0">
          <v:imagedata r:id="rId1" o:title="letterhead_prin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309" w:rsidRDefault="009B6E55">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461.2pt;margin-top:-120.1pt;width:94.45pt;height:865.85pt;z-index:-251657216;mso-wrap-edited:f;mso-position-horizontal-relative:margin;mso-position-vertical-relative:margin" wrapcoords="-27 0 -27 21561 21600 21561 21600 0 -27 0">
          <v:imagedata r:id="rId1" o:title="letterhead_print" cropleft="55141f"/>
          <w10:wrap anchorx="margin" anchory="margin"/>
        </v:shape>
      </w:pict>
    </w:r>
    <w:r w:rsidR="00E16309">
      <w:rPr>
        <w:noProof/>
      </w:rPr>
      <w:drawing>
        <wp:inline distT="0" distB="0" distL="0" distR="0">
          <wp:extent cx="1130614" cy="78105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614" cy="781050"/>
                  </a:xfrm>
                  <a:prstGeom prst="rect">
                    <a:avLst/>
                  </a:prstGeom>
                  <a:noFill/>
                  <a:ln>
                    <a:noFill/>
                  </a:ln>
                </pic:spPr>
              </pic:pic>
            </a:graphicData>
          </a:graphic>
        </wp:inline>
      </w:drawing>
    </w:r>
    <w:r w:rsidR="00A031B1" w:rsidRPr="00A031B1">
      <w:rPr>
        <w:i/>
        <w:noProof/>
      </w:rPr>
      <w:t xml:space="preserve"> </w:t>
    </w:r>
    <w:r w:rsidR="00A031B1">
      <w:rPr>
        <w:i/>
        <w:noProof/>
      </w:rPr>
      <w:t xml:space="preserve">                                                                    </w:t>
    </w:r>
    <w:r w:rsidR="00A031B1" w:rsidRPr="00A031B1">
      <w:rPr>
        <w:noProof/>
      </w:rPr>
      <w:drawing>
        <wp:inline distT="0" distB="0" distL="0" distR="0">
          <wp:extent cx="2321560" cy="485140"/>
          <wp:effectExtent l="0" t="0" r="254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1560" cy="48514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309" w:rsidRDefault="009B6E55">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45pt;height:841.9pt;z-index:-251655168;mso-wrap-edited:f;mso-position-horizontal:center;mso-position-horizontal-relative:margin;mso-position-vertical:center;mso-position-vertical-relative:margin" wrapcoords="-27 0 -27 21561 21600 21561 21600 0 -27 0">
          <v:imagedata r:id="rId1" o:title="letterhead_prin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F0BC4"/>
    <w:multiLevelType w:val="multilevel"/>
    <w:tmpl w:val="348E72FA"/>
    <w:lvl w:ilvl="0">
      <w:start w:val="4"/>
      <w:numFmt w:val="decimal"/>
      <w:lvlText w:val="%1."/>
      <w:lvlJc w:val="right"/>
      <w:pPr>
        <w:ind w:left="720" w:firstLine="360"/>
      </w:pPr>
      <w:rPr>
        <w:b w:val="0"/>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
    <w:nsid w:val="2E7616ED"/>
    <w:multiLevelType w:val="multilevel"/>
    <w:tmpl w:val="5C70B626"/>
    <w:lvl w:ilvl="0">
      <w:start w:val="3"/>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2">
    <w:nsid w:val="30B70EAB"/>
    <w:multiLevelType w:val="multilevel"/>
    <w:tmpl w:val="AEC07F98"/>
    <w:lvl w:ilvl="0">
      <w:start w:val="5"/>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3">
    <w:nsid w:val="344C0E68"/>
    <w:multiLevelType w:val="hybridMultilevel"/>
    <w:tmpl w:val="A94A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5C0EA5"/>
    <w:multiLevelType w:val="hybridMultilevel"/>
    <w:tmpl w:val="EF08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AC0E07"/>
    <w:multiLevelType w:val="hybridMultilevel"/>
    <w:tmpl w:val="93A83C38"/>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6">
    <w:nsid w:val="44430EAE"/>
    <w:multiLevelType w:val="multilevel"/>
    <w:tmpl w:val="D65E5D60"/>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7">
    <w:nsid w:val="452A0FBE"/>
    <w:multiLevelType w:val="hybridMultilevel"/>
    <w:tmpl w:val="18BC2F6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nsid w:val="45453238"/>
    <w:multiLevelType w:val="multilevel"/>
    <w:tmpl w:val="946A39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CB04D4B"/>
    <w:multiLevelType w:val="hybridMultilevel"/>
    <w:tmpl w:val="01BCC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B21351"/>
    <w:multiLevelType w:val="multilevel"/>
    <w:tmpl w:val="945AB1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FDE4851"/>
    <w:multiLevelType w:val="multilevel"/>
    <w:tmpl w:val="099641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5073098E"/>
    <w:multiLevelType w:val="multilevel"/>
    <w:tmpl w:val="75747B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9E6235D"/>
    <w:multiLevelType w:val="hybridMultilevel"/>
    <w:tmpl w:val="A9ACC010"/>
    <w:lvl w:ilvl="0" w:tplc="04090001">
      <w:start w:val="1"/>
      <w:numFmt w:val="bullet"/>
      <w:lvlText w:val=""/>
      <w:lvlJc w:val="left"/>
      <w:pPr>
        <w:ind w:left="2844" w:hanging="360"/>
      </w:pPr>
      <w:rPr>
        <w:rFonts w:ascii="Symbol" w:hAnsi="Symbol" w:hint="default"/>
      </w:rPr>
    </w:lvl>
    <w:lvl w:ilvl="1" w:tplc="04090003" w:tentative="1">
      <w:start w:val="1"/>
      <w:numFmt w:val="bullet"/>
      <w:lvlText w:val="o"/>
      <w:lvlJc w:val="left"/>
      <w:pPr>
        <w:ind w:left="3564" w:hanging="360"/>
      </w:pPr>
      <w:rPr>
        <w:rFonts w:ascii="Courier New" w:hAnsi="Courier New" w:cs="Courier New" w:hint="default"/>
      </w:rPr>
    </w:lvl>
    <w:lvl w:ilvl="2" w:tplc="04090005" w:tentative="1">
      <w:start w:val="1"/>
      <w:numFmt w:val="bullet"/>
      <w:lvlText w:val=""/>
      <w:lvlJc w:val="left"/>
      <w:pPr>
        <w:ind w:left="4284" w:hanging="360"/>
      </w:pPr>
      <w:rPr>
        <w:rFonts w:ascii="Wingdings" w:hAnsi="Wingdings" w:hint="default"/>
      </w:rPr>
    </w:lvl>
    <w:lvl w:ilvl="3" w:tplc="04090001" w:tentative="1">
      <w:start w:val="1"/>
      <w:numFmt w:val="bullet"/>
      <w:lvlText w:val=""/>
      <w:lvlJc w:val="left"/>
      <w:pPr>
        <w:ind w:left="5004" w:hanging="360"/>
      </w:pPr>
      <w:rPr>
        <w:rFonts w:ascii="Symbol" w:hAnsi="Symbol" w:hint="default"/>
      </w:rPr>
    </w:lvl>
    <w:lvl w:ilvl="4" w:tplc="04090003" w:tentative="1">
      <w:start w:val="1"/>
      <w:numFmt w:val="bullet"/>
      <w:lvlText w:val="o"/>
      <w:lvlJc w:val="left"/>
      <w:pPr>
        <w:ind w:left="5724" w:hanging="360"/>
      </w:pPr>
      <w:rPr>
        <w:rFonts w:ascii="Courier New" w:hAnsi="Courier New" w:cs="Courier New" w:hint="default"/>
      </w:rPr>
    </w:lvl>
    <w:lvl w:ilvl="5" w:tplc="04090005" w:tentative="1">
      <w:start w:val="1"/>
      <w:numFmt w:val="bullet"/>
      <w:lvlText w:val=""/>
      <w:lvlJc w:val="left"/>
      <w:pPr>
        <w:ind w:left="6444" w:hanging="360"/>
      </w:pPr>
      <w:rPr>
        <w:rFonts w:ascii="Wingdings" w:hAnsi="Wingdings" w:hint="default"/>
      </w:rPr>
    </w:lvl>
    <w:lvl w:ilvl="6" w:tplc="04090001" w:tentative="1">
      <w:start w:val="1"/>
      <w:numFmt w:val="bullet"/>
      <w:lvlText w:val=""/>
      <w:lvlJc w:val="left"/>
      <w:pPr>
        <w:ind w:left="7164" w:hanging="360"/>
      </w:pPr>
      <w:rPr>
        <w:rFonts w:ascii="Symbol" w:hAnsi="Symbol" w:hint="default"/>
      </w:rPr>
    </w:lvl>
    <w:lvl w:ilvl="7" w:tplc="04090003" w:tentative="1">
      <w:start w:val="1"/>
      <w:numFmt w:val="bullet"/>
      <w:lvlText w:val="o"/>
      <w:lvlJc w:val="left"/>
      <w:pPr>
        <w:ind w:left="7884" w:hanging="360"/>
      </w:pPr>
      <w:rPr>
        <w:rFonts w:ascii="Courier New" w:hAnsi="Courier New" w:cs="Courier New" w:hint="default"/>
      </w:rPr>
    </w:lvl>
    <w:lvl w:ilvl="8" w:tplc="04090005" w:tentative="1">
      <w:start w:val="1"/>
      <w:numFmt w:val="bullet"/>
      <w:lvlText w:val=""/>
      <w:lvlJc w:val="left"/>
      <w:pPr>
        <w:ind w:left="8604" w:hanging="360"/>
      </w:pPr>
      <w:rPr>
        <w:rFonts w:ascii="Wingdings" w:hAnsi="Wingdings" w:hint="default"/>
      </w:rPr>
    </w:lvl>
  </w:abstractNum>
  <w:abstractNum w:abstractNumId="14">
    <w:nsid w:val="69C57F0B"/>
    <w:multiLevelType w:val="multilevel"/>
    <w:tmpl w:val="41A0FED6"/>
    <w:lvl w:ilvl="0">
      <w:start w:val="2"/>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5">
    <w:nsid w:val="79ED5ED4"/>
    <w:multiLevelType w:val="multilevel"/>
    <w:tmpl w:val="4B4E54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9"/>
  </w:num>
  <w:num w:numId="2">
    <w:abstractNumId w:val="4"/>
  </w:num>
  <w:num w:numId="3">
    <w:abstractNumId w:val="3"/>
  </w:num>
  <w:num w:numId="4">
    <w:abstractNumId w:val="13"/>
  </w:num>
  <w:num w:numId="5">
    <w:abstractNumId w:val="7"/>
  </w:num>
  <w:num w:numId="6">
    <w:abstractNumId w:val="11"/>
  </w:num>
  <w:num w:numId="7">
    <w:abstractNumId w:val="1"/>
  </w:num>
  <w:num w:numId="8">
    <w:abstractNumId w:val="2"/>
  </w:num>
  <w:num w:numId="9">
    <w:abstractNumId w:val="6"/>
  </w:num>
  <w:num w:numId="10">
    <w:abstractNumId w:val="10"/>
  </w:num>
  <w:num w:numId="11">
    <w:abstractNumId w:val="12"/>
  </w:num>
  <w:num w:numId="12">
    <w:abstractNumId w:val="8"/>
  </w:num>
  <w:num w:numId="13">
    <w:abstractNumId w:val="14"/>
  </w:num>
  <w:num w:numId="14">
    <w:abstractNumId w:val="0"/>
  </w:num>
  <w:num w:numId="15">
    <w:abstractNumId w:val="5"/>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1E1FA8"/>
    <w:rsid w:val="00001C04"/>
    <w:rsid w:val="000020D2"/>
    <w:rsid w:val="0000327F"/>
    <w:rsid w:val="00007E6B"/>
    <w:rsid w:val="00013B28"/>
    <w:rsid w:val="000250E9"/>
    <w:rsid w:val="00026270"/>
    <w:rsid w:val="000277FD"/>
    <w:rsid w:val="00027B88"/>
    <w:rsid w:val="0004130D"/>
    <w:rsid w:val="00050E7E"/>
    <w:rsid w:val="0005470A"/>
    <w:rsid w:val="000708C9"/>
    <w:rsid w:val="00085CE1"/>
    <w:rsid w:val="00090928"/>
    <w:rsid w:val="000B7F12"/>
    <w:rsid w:val="000F2BB9"/>
    <w:rsid w:val="00100A68"/>
    <w:rsid w:val="00112A18"/>
    <w:rsid w:val="001236E1"/>
    <w:rsid w:val="00133ABC"/>
    <w:rsid w:val="00135076"/>
    <w:rsid w:val="00146B75"/>
    <w:rsid w:val="001504A5"/>
    <w:rsid w:val="00162008"/>
    <w:rsid w:val="00166D04"/>
    <w:rsid w:val="0019021C"/>
    <w:rsid w:val="0019393C"/>
    <w:rsid w:val="001A4B91"/>
    <w:rsid w:val="001C1E92"/>
    <w:rsid w:val="001D185E"/>
    <w:rsid w:val="001E1FA8"/>
    <w:rsid w:val="00203DA7"/>
    <w:rsid w:val="0022627C"/>
    <w:rsid w:val="0023049E"/>
    <w:rsid w:val="00243478"/>
    <w:rsid w:val="00266760"/>
    <w:rsid w:val="002716D4"/>
    <w:rsid w:val="00282323"/>
    <w:rsid w:val="00297F96"/>
    <w:rsid w:val="002C5DD3"/>
    <w:rsid w:val="002C6798"/>
    <w:rsid w:val="002D5295"/>
    <w:rsid w:val="002D5834"/>
    <w:rsid w:val="00300249"/>
    <w:rsid w:val="0030243E"/>
    <w:rsid w:val="00335404"/>
    <w:rsid w:val="0033665C"/>
    <w:rsid w:val="003369E7"/>
    <w:rsid w:val="00340CD4"/>
    <w:rsid w:val="00357B25"/>
    <w:rsid w:val="003648DA"/>
    <w:rsid w:val="003714C0"/>
    <w:rsid w:val="003A5BB6"/>
    <w:rsid w:val="003B1D69"/>
    <w:rsid w:val="003B6AFE"/>
    <w:rsid w:val="003C76FC"/>
    <w:rsid w:val="003D5BEC"/>
    <w:rsid w:val="00400F59"/>
    <w:rsid w:val="004034F4"/>
    <w:rsid w:val="00425C20"/>
    <w:rsid w:val="00426C3E"/>
    <w:rsid w:val="00433D19"/>
    <w:rsid w:val="00446DE0"/>
    <w:rsid w:val="004505F4"/>
    <w:rsid w:val="0045139F"/>
    <w:rsid w:val="00452489"/>
    <w:rsid w:val="0048342E"/>
    <w:rsid w:val="00483B7E"/>
    <w:rsid w:val="004970B0"/>
    <w:rsid w:val="004A36E3"/>
    <w:rsid w:val="004D32F9"/>
    <w:rsid w:val="00513D53"/>
    <w:rsid w:val="005741F3"/>
    <w:rsid w:val="005A5D41"/>
    <w:rsid w:val="005C390E"/>
    <w:rsid w:val="005D66AB"/>
    <w:rsid w:val="005E0349"/>
    <w:rsid w:val="005F279C"/>
    <w:rsid w:val="00607F59"/>
    <w:rsid w:val="0062137B"/>
    <w:rsid w:val="00627B77"/>
    <w:rsid w:val="00653B4C"/>
    <w:rsid w:val="00666B1D"/>
    <w:rsid w:val="006753DF"/>
    <w:rsid w:val="0068235A"/>
    <w:rsid w:val="00682A65"/>
    <w:rsid w:val="00683452"/>
    <w:rsid w:val="006B6E5D"/>
    <w:rsid w:val="006C339D"/>
    <w:rsid w:val="006E6A28"/>
    <w:rsid w:val="00701C98"/>
    <w:rsid w:val="00724542"/>
    <w:rsid w:val="007724B4"/>
    <w:rsid w:val="00786A12"/>
    <w:rsid w:val="00793B63"/>
    <w:rsid w:val="007961F2"/>
    <w:rsid w:val="007A12B9"/>
    <w:rsid w:val="007C6310"/>
    <w:rsid w:val="007D3FE7"/>
    <w:rsid w:val="007D475C"/>
    <w:rsid w:val="007E21FC"/>
    <w:rsid w:val="007E4981"/>
    <w:rsid w:val="007F0038"/>
    <w:rsid w:val="008072DB"/>
    <w:rsid w:val="008077EE"/>
    <w:rsid w:val="00814EFC"/>
    <w:rsid w:val="00831914"/>
    <w:rsid w:val="008453FB"/>
    <w:rsid w:val="0084683D"/>
    <w:rsid w:val="008568E1"/>
    <w:rsid w:val="008647EA"/>
    <w:rsid w:val="00876555"/>
    <w:rsid w:val="008A416D"/>
    <w:rsid w:val="008A6195"/>
    <w:rsid w:val="008B1001"/>
    <w:rsid w:val="008C24E3"/>
    <w:rsid w:val="008D2ADB"/>
    <w:rsid w:val="008D4AF3"/>
    <w:rsid w:val="008F6BED"/>
    <w:rsid w:val="0090049E"/>
    <w:rsid w:val="009339CC"/>
    <w:rsid w:val="00936334"/>
    <w:rsid w:val="00955B62"/>
    <w:rsid w:val="00961EC6"/>
    <w:rsid w:val="0096265E"/>
    <w:rsid w:val="009652DA"/>
    <w:rsid w:val="00971DD0"/>
    <w:rsid w:val="009A3C5F"/>
    <w:rsid w:val="009B2AB8"/>
    <w:rsid w:val="009B6E55"/>
    <w:rsid w:val="009C65F1"/>
    <w:rsid w:val="009D6770"/>
    <w:rsid w:val="009F4B05"/>
    <w:rsid w:val="00A031B1"/>
    <w:rsid w:val="00A04ABA"/>
    <w:rsid w:val="00A12446"/>
    <w:rsid w:val="00A17040"/>
    <w:rsid w:val="00A20255"/>
    <w:rsid w:val="00A21439"/>
    <w:rsid w:val="00A42DFD"/>
    <w:rsid w:val="00A4685C"/>
    <w:rsid w:val="00A518F7"/>
    <w:rsid w:val="00A70ECF"/>
    <w:rsid w:val="00A82FF5"/>
    <w:rsid w:val="00A849FC"/>
    <w:rsid w:val="00A92B65"/>
    <w:rsid w:val="00AA1DAE"/>
    <w:rsid w:val="00AA2EA0"/>
    <w:rsid w:val="00AB2B68"/>
    <w:rsid w:val="00AE7782"/>
    <w:rsid w:val="00AF0E7B"/>
    <w:rsid w:val="00B0428C"/>
    <w:rsid w:val="00B060F7"/>
    <w:rsid w:val="00B16747"/>
    <w:rsid w:val="00B23071"/>
    <w:rsid w:val="00B2717C"/>
    <w:rsid w:val="00B35466"/>
    <w:rsid w:val="00B57A2C"/>
    <w:rsid w:val="00B64C19"/>
    <w:rsid w:val="00B80292"/>
    <w:rsid w:val="00B93BC1"/>
    <w:rsid w:val="00BA2C41"/>
    <w:rsid w:val="00BB2236"/>
    <w:rsid w:val="00BC0500"/>
    <w:rsid w:val="00BC6C88"/>
    <w:rsid w:val="00BD3C43"/>
    <w:rsid w:val="00BD6E58"/>
    <w:rsid w:val="00BF5444"/>
    <w:rsid w:val="00BF6B6B"/>
    <w:rsid w:val="00BF7559"/>
    <w:rsid w:val="00C00081"/>
    <w:rsid w:val="00C379C8"/>
    <w:rsid w:val="00C644B0"/>
    <w:rsid w:val="00C8549E"/>
    <w:rsid w:val="00C85D0D"/>
    <w:rsid w:val="00C9082B"/>
    <w:rsid w:val="00CB03C9"/>
    <w:rsid w:val="00CD6AAD"/>
    <w:rsid w:val="00CE0B6B"/>
    <w:rsid w:val="00CF05CF"/>
    <w:rsid w:val="00D10952"/>
    <w:rsid w:val="00D17085"/>
    <w:rsid w:val="00D25BB8"/>
    <w:rsid w:val="00D41CFF"/>
    <w:rsid w:val="00D8034E"/>
    <w:rsid w:val="00D90EA1"/>
    <w:rsid w:val="00DC59F4"/>
    <w:rsid w:val="00DD769F"/>
    <w:rsid w:val="00DE5FD2"/>
    <w:rsid w:val="00E108A0"/>
    <w:rsid w:val="00E16309"/>
    <w:rsid w:val="00E41620"/>
    <w:rsid w:val="00E55053"/>
    <w:rsid w:val="00E57FF3"/>
    <w:rsid w:val="00E640EB"/>
    <w:rsid w:val="00E70F28"/>
    <w:rsid w:val="00E807E4"/>
    <w:rsid w:val="00EB10D7"/>
    <w:rsid w:val="00EB38E6"/>
    <w:rsid w:val="00EB7033"/>
    <w:rsid w:val="00EC5F93"/>
    <w:rsid w:val="00EF79FA"/>
    <w:rsid w:val="00F02EDF"/>
    <w:rsid w:val="00F05955"/>
    <w:rsid w:val="00F05CFB"/>
    <w:rsid w:val="00F06CB9"/>
    <w:rsid w:val="00F17511"/>
    <w:rsid w:val="00F23E81"/>
    <w:rsid w:val="00F41A4B"/>
    <w:rsid w:val="00F60FED"/>
    <w:rsid w:val="00F64F97"/>
    <w:rsid w:val="00FA6615"/>
    <w:rsid w:val="00FB168D"/>
    <w:rsid w:val="00FC009B"/>
    <w:rsid w:val="00FD04E6"/>
    <w:rsid w:val="00FD0A79"/>
    <w:rsid w:val="00FD79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E1FA8"/>
    <w:pPr>
      <w:spacing w:after="0" w:line="240" w:lineRule="auto"/>
    </w:pPr>
    <w:rPr>
      <w:rFonts w:ascii="Cambria" w:eastAsia="MS Mincho" w:hAnsi="Cambria" w:cs="Times New Roman"/>
      <w:sz w:val="24"/>
      <w:szCs w:val="24"/>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1E1FA8"/>
    <w:pPr>
      <w:tabs>
        <w:tab w:val="center" w:pos="4320"/>
        <w:tab w:val="right" w:pos="8640"/>
      </w:tabs>
    </w:pPr>
  </w:style>
  <w:style w:type="character" w:customStyle="1" w:styleId="lfejChar">
    <w:name w:val="Élőfej Char"/>
    <w:basedOn w:val="Bekezdsalapbettpusa"/>
    <w:link w:val="lfej"/>
    <w:uiPriority w:val="99"/>
    <w:rsid w:val="001E1FA8"/>
    <w:rPr>
      <w:rFonts w:ascii="Cambria" w:eastAsia="MS Mincho" w:hAnsi="Cambria" w:cs="Times New Roman"/>
      <w:sz w:val="24"/>
      <w:szCs w:val="24"/>
      <w:lang w:val="en-US"/>
    </w:rPr>
  </w:style>
  <w:style w:type="paragraph" w:styleId="llb">
    <w:name w:val="footer"/>
    <w:basedOn w:val="Norml"/>
    <w:link w:val="llbChar"/>
    <w:uiPriority w:val="99"/>
    <w:unhideWhenUsed/>
    <w:rsid w:val="001E1FA8"/>
    <w:pPr>
      <w:tabs>
        <w:tab w:val="center" w:pos="4320"/>
        <w:tab w:val="right" w:pos="8640"/>
      </w:tabs>
    </w:pPr>
  </w:style>
  <w:style w:type="character" w:customStyle="1" w:styleId="llbChar">
    <w:name w:val="Élőláb Char"/>
    <w:basedOn w:val="Bekezdsalapbettpusa"/>
    <w:link w:val="llb"/>
    <w:uiPriority w:val="99"/>
    <w:rsid w:val="001E1FA8"/>
    <w:rPr>
      <w:rFonts w:ascii="Cambria" w:eastAsia="MS Mincho" w:hAnsi="Cambria" w:cs="Times New Roman"/>
      <w:sz w:val="24"/>
      <w:szCs w:val="24"/>
      <w:lang w:val="en-US"/>
    </w:rPr>
  </w:style>
  <w:style w:type="character" w:styleId="Hiperhivatkozs">
    <w:name w:val="Hyperlink"/>
    <w:unhideWhenUsed/>
    <w:rsid w:val="001E1FA8"/>
    <w:rPr>
      <w:color w:val="0000FF"/>
      <w:u w:val="single"/>
    </w:rPr>
  </w:style>
  <w:style w:type="paragraph" w:styleId="Buborkszveg">
    <w:name w:val="Balloon Text"/>
    <w:basedOn w:val="Norml"/>
    <w:link w:val="BuborkszvegChar"/>
    <w:uiPriority w:val="99"/>
    <w:semiHidden/>
    <w:unhideWhenUsed/>
    <w:rsid w:val="001E1FA8"/>
    <w:rPr>
      <w:rFonts w:ascii="Tahoma" w:hAnsi="Tahoma" w:cs="Tahoma"/>
      <w:sz w:val="16"/>
      <w:szCs w:val="16"/>
    </w:rPr>
  </w:style>
  <w:style w:type="character" w:customStyle="1" w:styleId="BuborkszvegChar">
    <w:name w:val="Buborékszöveg Char"/>
    <w:basedOn w:val="Bekezdsalapbettpusa"/>
    <w:link w:val="Buborkszveg"/>
    <w:uiPriority w:val="99"/>
    <w:semiHidden/>
    <w:rsid w:val="001E1FA8"/>
    <w:rPr>
      <w:rFonts w:ascii="Tahoma" w:eastAsia="MS Mincho" w:hAnsi="Tahoma" w:cs="Tahoma"/>
      <w:sz w:val="16"/>
      <w:szCs w:val="16"/>
      <w:lang w:val="en-US"/>
    </w:rPr>
  </w:style>
  <w:style w:type="paragraph" w:styleId="Csakszveg">
    <w:name w:val="Plain Text"/>
    <w:basedOn w:val="Norml"/>
    <w:link w:val="CsakszvegChar"/>
    <w:uiPriority w:val="99"/>
    <w:semiHidden/>
    <w:unhideWhenUsed/>
    <w:rsid w:val="00433D19"/>
    <w:rPr>
      <w:rFonts w:ascii="Calibri" w:eastAsiaTheme="minorHAnsi" w:hAnsi="Calibri" w:cstheme="minorBidi"/>
      <w:sz w:val="22"/>
      <w:szCs w:val="21"/>
    </w:rPr>
  </w:style>
  <w:style w:type="character" w:customStyle="1" w:styleId="CsakszvegChar">
    <w:name w:val="Csak szöveg Char"/>
    <w:basedOn w:val="Bekezdsalapbettpusa"/>
    <w:link w:val="Csakszveg"/>
    <w:uiPriority w:val="99"/>
    <w:semiHidden/>
    <w:rsid w:val="00433D19"/>
    <w:rPr>
      <w:rFonts w:ascii="Calibri" w:hAnsi="Calibri"/>
      <w:szCs w:val="21"/>
      <w:lang w:val="en-US"/>
    </w:rPr>
  </w:style>
  <w:style w:type="paragraph" w:styleId="Listaszerbekezds">
    <w:name w:val="List Paragraph"/>
    <w:basedOn w:val="Norml"/>
    <w:uiPriority w:val="34"/>
    <w:qFormat/>
    <w:rsid w:val="00433D19"/>
    <w:pPr>
      <w:ind w:left="720"/>
      <w:contextualSpacing/>
    </w:pPr>
  </w:style>
  <w:style w:type="paragraph" w:styleId="NormlWeb">
    <w:name w:val="Normal (Web)"/>
    <w:basedOn w:val="Norml"/>
    <w:uiPriority w:val="99"/>
    <w:unhideWhenUsed/>
    <w:rsid w:val="007E4981"/>
    <w:pPr>
      <w:spacing w:before="100" w:beforeAutospacing="1" w:after="100" w:afterAutospacing="1"/>
    </w:pPr>
    <w:rPr>
      <w:rFonts w:ascii="Times New Roman" w:eastAsiaTheme="minorHAnsi" w:hAnsi="Times New Roman"/>
      <w:lang w:val="fr-BE" w:eastAsia="fr-BE"/>
    </w:rPr>
  </w:style>
  <w:style w:type="paragraph" w:customStyle="1" w:styleId="normal">
    <w:name w:val="normal"/>
    <w:rsid w:val="00A031B1"/>
    <w:pPr>
      <w:spacing w:after="0"/>
    </w:pPr>
    <w:rPr>
      <w:rFonts w:ascii="Arial" w:eastAsia="Arial" w:hAnsi="Arial" w:cs="Arial"/>
      <w:color w:val="00000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FA8"/>
    <w:pPr>
      <w:spacing w:after="0" w:line="240" w:lineRule="auto"/>
    </w:pPr>
    <w:rPr>
      <w:rFonts w:ascii="Cambria" w:eastAsia="MS Mincho"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1FA8"/>
    <w:pPr>
      <w:tabs>
        <w:tab w:val="center" w:pos="4320"/>
        <w:tab w:val="right" w:pos="8640"/>
      </w:tabs>
    </w:pPr>
  </w:style>
  <w:style w:type="character" w:customStyle="1" w:styleId="HeaderChar">
    <w:name w:val="Header Char"/>
    <w:basedOn w:val="DefaultParagraphFont"/>
    <w:link w:val="Header"/>
    <w:uiPriority w:val="99"/>
    <w:rsid w:val="001E1FA8"/>
    <w:rPr>
      <w:rFonts w:ascii="Cambria" w:eastAsia="MS Mincho" w:hAnsi="Cambria" w:cs="Times New Roman"/>
      <w:sz w:val="24"/>
      <w:szCs w:val="24"/>
      <w:lang w:val="en-US"/>
    </w:rPr>
  </w:style>
  <w:style w:type="paragraph" w:styleId="Footer">
    <w:name w:val="footer"/>
    <w:basedOn w:val="Normal"/>
    <w:link w:val="FooterChar"/>
    <w:uiPriority w:val="99"/>
    <w:unhideWhenUsed/>
    <w:rsid w:val="001E1FA8"/>
    <w:pPr>
      <w:tabs>
        <w:tab w:val="center" w:pos="4320"/>
        <w:tab w:val="right" w:pos="8640"/>
      </w:tabs>
    </w:pPr>
  </w:style>
  <w:style w:type="character" w:customStyle="1" w:styleId="FooterChar">
    <w:name w:val="Footer Char"/>
    <w:basedOn w:val="DefaultParagraphFont"/>
    <w:link w:val="Footer"/>
    <w:uiPriority w:val="99"/>
    <w:rsid w:val="001E1FA8"/>
    <w:rPr>
      <w:rFonts w:ascii="Cambria" w:eastAsia="MS Mincho" w:hAnsi="Cambria" w:cs="Times New Roman"/>
      <w:sz w:val="24"/>
      <w:szCs w:val="24"/>
      <w:lang w:val="en-US"/>
    </w:rPr>
  </w:style>
  <w:style w:type="character" w:styleId="Hyperlink">
    <w:name w:val="Hyperlink"/>
    <w:unhideWhenUsed/>
    <w:rsid w:val="001E1FA8"/>
    <w:rPr>
      <w:color w:val="0000FF"/>
      <w:u w:val="single"/>
    </w:rPr>
  </w:style>
  <w:style w:type="paragraph" w:styleId="BalloonText">
    <w:name w:val="Balloon Text"/>
    <w:basedOn w:val="Normal"/>
    <w:link w:val="BalloonTextChar"/>
    <w:uiPriority w:val="99"/>
    <w:semiHidden/>
    <w:unhideWhenUsed/>
    <w:rsid w:val="001E1FA8"/>
    <w:rPr>
      <w:rFonts w:ascii="Tahoma" w:hAnsi="Tahoma" w:cs="Tahoma"/>
      <w:sz w:val="16"/>
      <w:szCs w:val="16"/>
    </w:rPr>
  </w:style>
  <w:style w:type="character" w:customStyle="1" w:styleId="BalloonTextChar">
    <w:name w:val="Balloon Text Char"/>
    <w:basedOn w:val="DefaultParagraphFont"/>
    <w:link w:val="BalloonText"/>
    <w:uiPriority w:val="99"/>
    <w:semiHidden/>
    <w:rsid w:val="001E1FA8"/>
    <w:rPr>
      <w:rFonts w:ascii="Tahoma" w:eastAsia="MS Mincho" w:hAnsi="Tahoma" w:cs="Tahoma"/>
      <w:sz w:val="16"/>
      <w:szCs w:val="16"/>
      <w:lang w:val="en-US"/>
    </w:rPr>
  </w:style>
  <w:style w:type="paragraph" w:styleId="PlainText">
    <w:name w:val="Plain Text"/>
    <w:basedOn w:val="Normal"/>
    <w:link w:val="PlainTextChar"/>
    <w:uiPriority w:val="99"/>
    <w:semiHidden/>
    <w:unhideWhenUsed/>
    <w:rsid w:val="00433D1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433D19"/>
    <w:rPr>
      <w:rFonts w:ascii="Calibri" w:hAnsi="Calibri"/>
      <w:szCs w:val="21"/>
      <w:lang w:val="en-US"/>
    </w:rPr>
  </w:style>
  <w:style w:type="paragraph" w:styleId="ListParagraph">
    <w:name w:val="List Paragraph"/>
    <w:basedOn w:val="Normal"/>
    <w:uiPriority w:val="34"/>
    <w:qFormat/>
    <w:rsid w:val="00433D19"/>
    <w:pPr>
      <w:ind w:left="720"/>
      <w:contextualSpacing/>
    </w:pPr>
  </w:style>
  <w:style w:type="paragraph" w:styleId="NormalWeb">
    <w:name w:val="Normal (Web)"/>
    <w:basedOn w:val="Normal"/>
    <w:uiPriority w:val="99"/>
    <w:unhideWhenUsed/>
    <w:rsid w:val="007E4981"/>
    <w:pPr>
      <w:spacing w:before="100" w:beforeAutospacing="1" w:after="100" w:afterAutospacing="1"/>
    </w:pPr>
    <w:rPr>
      <w:rFonts w:ascii="Times New Roman" w:eastAsiaTheme="minorHAnsi" w:hAnsi="Times New Roman"/>
      <w:lang w:val="fr-BE" w:eastAsia="fr-BE"/>
    </w:rPr>
  </w:style>
</w:styles>
</file>

<file path=word/webSettings.xml><?xml version="1.0" encoding="utf-8"?>
<w:webSettings xmlns:r="http://schemas.openxmlformats.org/officeDocument/2006/relationships" xmlns:w="http://schemas.openxmlformats.org/wordprocessingml/2006/main">
  <w:divs>
    <w:div w:id="5522197">
      <w:bodyDiv w:val="1"/>
      <w:marLeft w:val="0"/>
      <w:marRight w:val="0"/>
      <w:marTop w:val="0"/>
      <w:marBottom w:val="0"/>
      <w:divBdr>
        <w:top w:val="none" w:sz="0" w:space="0" w:color="auto"/>
        <w:left w:val="none" w:sz="0" w:space="0" w:color="auto"/>
        <w:bottom w:val="none" w:sz="0" w:space="0" w:color="auto"/>
        <w:right w:val="none" w:sz="0" w:space="0" w:color="auto"/>
      </w:divBdr>
    </w:div>
    <w:div w:id="205726167">
      <w:bodyDiv w:val="1"/>
      <w:marLeft w:val="0"/>
      <w:marRight w:val="0"/>
      <w:marTop w:val="0"/>
      <w:marBottom w:val="0"/>
      <w:divBdr>
        <w:top w:val="none" w:sz="0" w:space="0" w:color="auto"/>
        <w:left w:val="none" w:sz="0" w:space="0" w:color="auto"/>
        <w:bottom w:val="none" w:sz="0" w:space="0" w:color="auto"/>
        <w:right w:val="none" w:sz="0" w:space="0" w:color="auto"/>
      </w:divBdr>
    </w:div>
    <w:div w:id="1374117011">
      <w:bodyDiv w:val="1"/>
      <w:marLeft w:val="0"/>
      <w:marRight w:val="0"/>
      <w:marTop w:val="0"/>
      <w:marBottom w:val="0"/>
      <w:divBdr>
        <w:top w:val="none" w:sz="0" w:space="0" w:color="auto"/>
        <w:left w:val="none" w:sz="0" w:space="0" w:color="auto"/>
        <w:bottom w:val="none" w:sz="0" w:space="0" w:color="auto"/>
        <w:right w:val="none" w:sz="0" w:space="0" w:color="auto"/>
      </w:divBdr>
    </w:div>
    <w:div w:id="179721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microsoft.com/office/2007/relationships/stylesWithEffects" Target="stylesWithEffect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_x0020_Meeting xmlns="9fb2f28d-c07b-4f7d-83cc-9ac70fb666b7">2014-11-03T23:00:00+00:00</Date_x0020_Meeting>
    <Document_x0020_type xmlns="9fb2f28d-c07b-4f7d-83cc-9ac70fb666b7">Agenda</Document_x0020_type>
    <IconOverlay xmlns="http://schemas.microsoft.com/sharepoint/v4" xsi:nil="true"/>
    <Meeting_x0020_type xmlns="9fb2f28d-c07b-4f7d-83cc-9ac70fb666b7">Executive Board</Meeting_x0020_type>
    <Status xmlns="9fb2f28d-c07b-4f7d-83cc-9ac70fb666b7">Final</Status>
    <Modified_x0020_by_x0020_this xmlns="9fb2f28d-c07b-4f7d-83cc-9ac70fb666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8A021855E8A647A2710E40950006CB" ma:contentTypeVersion="8" ma:contentTypeDescription="Create a new document." ma:contentTypeScope="" ma:versionID="37686a737a3f94b322ad913d817e23e1">
  <xsd:schema xmlns:xsd="http://www.w3.org/2001/XMLSchema" xmlns:xs="http://www.w3.org/2001/XMLSchema" xmlns:p="http://schemas.microsoft.com/office/2006/metadata/properties" xmlns:ns2="9fb2f28d-c07b-4f7d-83cc-9ac70fb666b7" xmlns:ns3="http://schemas.microsoft.com/sharepoint/v4" targetNamespace="http://schemas.microsoft.com/office/2006/metadata/properties" ma:root="true" ma:fieldsID="501cadfd84a52ab88a09d4db4b1bfbed" ns2:_="" ns3:_="">
    <xsd:import namespace="9fb2f28d-c07b-4f7d-83cc-9ac70fb666b7"/>
    <xsd:import namespace="http://schemas.microsoft.com/sharepoint/v4"/>
    <xsd:element name="properties">
      <xsd:complexType>
        <xsd:sequence>
          <xsd:element name="documentManagement">
            <xsd:complexType>
              <xsd:all>
                <xsd:element ref="ns2:Date_x0020_Meeting"/>
                <xsd:element ref="ns2:Meeting_x0020_type"/>
                <xsd:element ref="ns2:Document_x0020_type"/>
                <xsd:element ref="ns2:Status"/>
                <xsd:element ref="ns2:Modified_x0020_by_x0020_this" minOccurs="0"/>
                <xsd:element ref="ns2:Modified_x0020_by_x0020_this_x003a_Modifie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2f28d-c07b-4f7d-83cc-9ac70fb666b7" elementFormDefault="qualified">
    <xsd:import namespace="http://schemas.microsoft.com/office/2006/documentManagement/types"/>
    <xsd:import namespace="http://schemas.microsoft.com/office/infopath/2007/PartnerControls"/>
    <xsd:element name="Date_x0020_Meeting" ma:index="8" ma:displayName="Date Meeting" ma:format="DateOnly" ma:internalName="Date_x0020_Meeting">
      <xsd:simpleType>
        <xsd:restriction base="dms:DateTime"/>
      </xsd:simpleType>
    </xsd:element>
    <xsd:element name="Meeting_x0020_type" ma:index="9" ma:displayName="Meeting type" ma:default="Workshop" ma:format="Dropdown" ma:internalName="Meeting_x0020_type">
      <xsd:simpleType>
        <xsd:restriction base="dms:Choice">
          <xsd:enumeration value="Plenary Assembly"/>
          <xsd:enumeration value="Conference"/>
          <xsd:enumeration value="Stakeholder forum"/>
          <xsd:enumeration value="Executive Board"/>
          <xsd:enumeration value="Work Package Leader Meeting"/>
          <xsd:enumeration value="Work Package Leader E-Meeting"/>
          <xsd:enumeration value="Bilateral meeting"/>
          <xsd:enumeration value="Workshop"/>
          <xsd:enumeration value="Expert meeting"/>
          <xsd:enumeration value="Management Office Meeting"/>
          <xsd:enumeration value="WP4567 coordination meeting"/>
          <xsd:enumeration value="EC/CHAFEA progress meeting"/>
          <xsd:enumeration value="Kick Off"/>
        </xsd:restriction>
      </xsd:simpleType>
    </xsd:element>
    <xsd:element name="Document_x0020_type" ma:index="10" ma:displayName="Document type" ma:default="Invitation" ma:format="Dropdown" ma:internalName="Document_x0020_type">
      <xsd:simpleType>
        <xsd:restriction base="dms:Choice">
          <xsd:enumeration value="Invitation"/>
          <xsd:enumeration value="Agenda"/>
          <xsd:enumeration value="Preparation"/>
          <xsd:enumeration value="Practical Information"/>
          <xsd:enumeration value="Presentations"/>
          <xsd:enumeration value="Meeting minutes"/>
          <xsd:enumeration value="Other"/>
        </xsd:restriction>
      </xsd:simpleType>
    </xsd:element>
    <xsd:element name="Status" ma:index="11" ma:displayName="Status" ma:default="Draft" ma:format="Dropdown" ma:internalName="Status">
      <xsd:simpleType>
        <xsd:restriction base="dms:Choice">
          <xsd:enumeration value="Draft"/>
          <xsd:enumeration value="For review"/>
          <xsd:enumeration value="Final"/>
        </xsd:restriction>
      </xsd:simpleType>
    </xsd:element>
    <xsd:element name="Modified_x0020_by_x0020_this" ma:index="12" nillable="true" ma:displayName="Modified by this" ma:list="{9fb2f28d-c07b-4f7d-83cc-9ac70fb666b7}" ma:internalName="Modified_x0020_by_x0020_this" ma:showField="Modified">
      <xsd:simpleType>
        <xsd:restriction base="dms:Lookup"/>
      </xsd:simpleType>
    </xsd:element>
    <xsd:element name="Modified_x0020_by_x0020_this_x003a_Modified" ma:index="13" nillable="true" ma:displayName="Modified by this:Modified" ma:list="{9fb2f28d-c07b-4f7d-83cc-9ac70fb666b7}" ma:internalName="Modified_x0020_by_x0020_this_x003a_Modified" ma:readOnly="true" ma:showField="Modified" ma:web="80328dc9-2c7e-4130-8d7b-79e1da63834f">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31B39-D216-40D2-B3E4-70950874303F}">
  <ds:schemaRefs>
    <ds:schemaRef ds:uri="http://schemas.microsoft.com/office/2006/metadata/properties"/>
    <ds:schemaRef ds:uri="http://schemas.microsoft.com/office/infopath/2007/PartnerControls"/>
    <ds:schemaRef ds:uri="9fb2f28d-c07b-4f7d-83cc-9ac70fb666b7"/>
    <ds:schemaRef ds:uri="http://schemas.microsoft.com/sharepoint/v4"/>
  </ds:schemaRefs>
</ds:datastoreItem>
</file>

<file path=customXml/itemProps2.xml><?xml version="1.0" encoding="utf-8"?>
<ds:datastoreItem xmlns:ds="http://schemas.openxmlformats.org/officeDocument/2006/customXml" ds:itemID="{4315B1A6-C944-41BE-959E-6FEE439FB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b2f28d-c07b-4f7d-83cc-9ac70fb666b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30ADB8-F7A2-4F40-947F-0B0D83DF4A67}">
  <ds:schemaRefs>
    <ds:schemaRef ds:uri="http://schemas.microsoft.com/sharepoint/v3/contenttype/forms"/>
  </ds:schemaRefs>
</ds:datastoreItem>
</file>

<file path=customXml/itemProps4.xml><?xml version="1.0" encoding="utf-8"?>
<ds:datastoreItem xmlns:ds="http://schemas.openxmlformats.org/officeDocument/2006/customXml" ds:itemID="{29248422-245D-4A59-9D76-645B0B051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1077</Words>
  <Characters>6139</Characters>
  <Application>Microsoft Office Word</Application>
  <DocSecurity>0</DocSecurity>
  <Lines>51</Lines>
  <Paragraphs>14</Paragraphs>
  <ScaleCrop>false</ScaleCrop>
  <HeadingPairs>
    <vt:vector size="6" baseType="variant">
      <vt:variant>
        <vt:lpstr>Cím</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health.fgov.be</Company>
  <LinksUpToDate>false</LinksUpToDate>
  <CharactersWithSpaces>7202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D'Eugenio Maria</dc:creator>
  <cp:lastModifiedBy>zoli</cp:lastModifiedBy>
  <cp:revision>2</cp:revision>
  <cp:lastPrinted>2014-12-01T11:17:00Z</cp:lastPrinted>
  <dcterms:created xsi:type="dcterms:W3CDTF">2014-12-01T14:53:00Z</dcterms:created>
  <dcterms:modified xsi:type="dcterms:W3CDTF">2014-12-01T14:53:00Z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0x010100BF8A021855E8A647A2710E40950006CB</vt:lpwstr>
  </property>
</Properties>
</file>